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media/image1.png" ContentType="image/png"/>
  <Override PartName="/word/header3.xml" ContentType="application/vnd.openxmlformats-officedocument.wordprocessingml.header+xml"/>
  <Override PartName="/word/footer2.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word/_rels/header3.xml.rels" ContentType="application/vnd.openxmlformats-package.relationships+xml"/>
  <Override PartName="/word/_rels/header2.xml.rels" ContentType="application/vnd.openxmlformats-package.relationships+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Akapitzlist3"/>
        <w:rPr>
          <w:rFonts w:ascii="Cambria" w:hAnsi="Cambria"/>
          <w:sz w:val="22"/>
          <w:szCs w:val="22"/>
        </w:rPr>
      </w:pPr>
      <w:r>
        <w:rPr>
          <w:rFonts w:ascii="Cambria" w:hAnsi="Cambria"/>
          <w:sz w:val="22"/>
          <w:szCs w:val="22"/>
        </w:rPr>
      </w:r>
    </w:p>
    <w:p>
      <w:pPr>
        <w:pStyle w:val="Akapitzlist3"/>
        <w:rPr>
          <w:rFonts w:ascii="Cambria" w:hAnsi="Cambria"/>
          <w:sz w:val="22"/>
          <w:szCs w:val="22"/>
        </w:rPr>
      </w:pPr>
      <w:r>
        <w:rPr>
          <w:rFonts w:ascii="Cambria" w:hAnsi="Cambria"/>
          <w:sz w:val="22"/>
          <w:szCs w:val="22"/>
        </w:rPr>
      </w:r>
    </w:p>
    <w:p>
      <w:pPr>
        <w:pStyle w:val="Akapitzlist3"/>
        <w:spacing w:lineRule="auto" w:line="276"/>
        <w:rPr/>
      </w:pPr>
      <w:bookmarkStart w:id="0" w:name="_Hlk180655333"/>
      <w:r>
        <w:rPr>
          <w:rFonts w:ascii="Cambria" w:hAnsi="Cambria"/>
          <w:b/>
          <w:bCs/>
          <w:sz w:val="22"/>
          <w:szCs w:val="22"/>
        </w:rPr>
        <w:t>RI.271.I.4.2026.RK</w:t>
      </w:r>
      <w:bookmarkEnd w:id="0"/>
      <w:r>
        <w:rPr>
          <w:rFonts w:ascii="Cambria" w:hAnsi="Cambria"/>
          <w:sz w:val="22"/>
          <w:szCs w:val="22"/>
        </w:rPr>
        <w:tab/>
        <w:tab/>
        <w:tab/>
        <w:tab/>
        <w:tab/>
        <w:tab/>
      </w:r>
      <w:r>
        <w:rPr>
          <w:rFonts w:ascii="Cambria" w:hAnsi="Cambria"/>
          <w:color w:themeColor="text1" w:val="000000"/>
          <w:sz w:val="22"/>
          <w:szCs w:val="22"/>
        </w:rPr>
        <w:t xml:space="preserve">Skała, dnia </w:t>
      </w:r>
      <w:r>
        <w:rPr>
          <w:rFonts w:ascii="Cambria" w:hAnsi="Cambria"/>
          <w:color w:themeColor="text1" w:val="000000"/>
          <w:sz w:val="22"/>
          <w:szCs w:val="22"/>
        </w:rPr>
        <w:t>0</w:t>
      </w:r>
      <w:r>
        <w:rPr>
          <w:rFonts w:ascii="Cambria" w:hAnsi="Cambria"/>
          <w:color w:themeColor="text1" w:val="000000"/>
          <w:sz w:val="22"/>
          <w:szCs w:val="22"/>
        </w:rPr>
        <w:t>2.0</w:t>
      </w:r>
      <w:r>
        <w:rPr>
          <w:rFonts w:ascii="Cambria" w:hAnsi="Cambria"/>
          <w:color w:themeColor="text1" w:val="000000"/>
          <w:sz w:val="22"/>
          <w:szCs w:val="22"/>
        </w:rPr>
        <w:t>3</w:t>
      </w:r>
      <w:r>
        <w:rPr>
          <w:rFonts w:ascii="Cambria" w:hAnsi="Cambria"/>
          <w:color w:themeColor="text1" w:val="000000"/>
          <w:sz w:val="22"/>
          <w:szCs w:val="22"/>
        </w:rPr>
        <w:t>.2026 r.</w:t>
      </w:r>
    </w:p>
    <w:p>
      <w:pPr>
        <w:pStyle w:val="Normal"/>
        <w:spacing w:lineRule="auto" w:line="276" w:before="120" w:after="120"/>
        <w:rPr>
          <w:rFonts w:ascii="Cambria" w:hAnsi="Cambria" w:cs="Arial"/>
          <w:bCs/>
          <w:sz w:val="22"/>
          <w:szCs w:val="22"/>
        </w:rPr>
      </w:pPr>
      <w:r>
        <w:rPr>
          <w:rFonts w:cs="Arial" w:ascii="Cambria" w:hAnsi="Cambria"/>
          <w:bCs/>
          <w:sz w:val="22"/>
          <w:szCs w:val="22"/>
        </w:rPr>
      </w:r>
    </w:p>
    <w:p>
      <w:pPr>
        <w:pStyle w:val="Normal"/>
        <w:spacing w:lineRule="auto" w:line="276" w:before="120" w:after="120"/>
        <w:jc w:val="center"/>
        <w:rPr>
          <w:rFonts w:ascii="Cambria" w:hAnsi="Cambria" w:cs="Arial"/>
          <w:bCs/>
          <w:sz w:val="22"/>
          <w:szCs w:val="22"/>
        </w:rPr>
      </w:pPr>
      <w:r>
        <w:rPr>
          <w:rFonts w:cs="Arial" w:ascii="Cambria" w:hAnsi="Cambria"/>
          <w:bCs/>
          <w:sz w:val="22"/>
          <w:szCs w:val="22"/>
        </w:rPr>
      </w:r>
    </w:p>
    <w:p>
      <w:pPr>
        <w:pStyle w:val="Normal"/>
        <w:spacing w:lineRule="auto" w:line="276" w:before="120" w:after="120"/>
        <w:jc w:val="center"/>
        <w:rPr>
          <w:rFonts w:ascii="Cambria" w:hAnsi="Cambria" w:cs="Arial"/>
          <w:bCs/>
          <w:sz w:val="22"/>
          <w:szCs w:val="22"/>
        </w:rPr>
      </w:pPr>
      <w:r>
        <w:rPr>
          <w:rFonts w:cs="Arial" w:ascii="Cambria" w:hAnsi="Cambria"/>
          <w:bCs/>
          <w:sz w:val="22"/>
          <w:szCs w:val="22"/>
        </w:rPr>
      </w:r>
    </w:p>
    <w:p>
      <w:pPr>
        <w:pStyle w:val="Normal"/>
        <w:spacing w:lineRule="auto" w:line="276" w:before="120" w:after="120"/>
        <w:jc w:val="center"/>
        <w:rPr>
          <w:rFonts w:ascii="Cambria" w:hAnsi="Cambria" w:cs="Arial"/>
          <w:bCs/>
          <w:sz w:val="22"/>
          <w:szCs w:val="22"/>
        </w:rPr>
      </w:pPr>
      <w:r>
        <w:rPr>
          <w:rFonts w:cs="Arial" w:ascii="Cambria" w:hAnsi="Cambria"/>
          <w:bCs/>
          <w:sz w:val="22"/>
          <w:szCs w:val="22"/>
        </w:rPr>
      </w:r>
    </w:p>
    <w:p>
      <w:pPr>
        <w:pStyle w:val="Normal"/>
        <w:spacing w:lineRule="auto" w:line="276" w:before="120" w:after="120"/>
        <w:jc w:val="center"/>
        <w:rPr>
          <w:rFonts w:ascii="Cambria" w:hAnsi="Cambria" w:cs="Arial"/>
          <w:bCs/>
          <w:sz w:val="22"/>
          <w:szCs w:val="22"/>
        </w:rPr>
      </w:pPr>
      <w:r>
        <w:rPr>
          <w:rFonts w:cs="Arial" w:ascii="Cambria" w:hAnsi="Cambria"/>
          <w:bCs/>
          <w:sz w:val="22"/>
          <w:szCs w:val="22"/>
        </w:rPr>
      </w:r>
    </w:p>
    <w:p>
      <w:pPr>
        <w:pStyle w:val="Normal"/>
        <w:spacing w:lineRule="auto" w:line="276" w:before="120" w:after="120"/>
        <w:jc w:val="center"/>
        <w:rPr>
          <w:rFonts w:ascii="Cambria" w:hAnsi="Cambria" w:cs="Arial"/>
          <w:bCs/>
          <w:sz w:val="22"/>
          <w:szCs w:val="22"/>
        </w:rPr>
      </w:pPr>
      <w:r>
        <w:rPr>
          <w:rFonts w:cs="Arial" w:ascii="Cambria" w:hAnsi="Cambria"/>
          <w:bCs/>
          <w:sz w:val="22"/>
          <w:szCs w:val="22"/>
        </w:rPr>
      </w:r>
    </w:p>
    <w:p>
      <w:pPr>
        <w:pStyle w:val="Normal"/>
        <w:spacing w:lineRule="auto" w:line="276" w:before="120" w:after="120"/>
        <w:jc w:val="center"/>
        <w:rPr>
          <w:rFonts w:ascii="Cambria" w:hAnsi="Cambria" w:cs="Arial"/>
          <w:bCs/>
          <w:sz w:val="22"/>
          <w:szCs w:val="22"/>
        </w:rPr>
      </w:pPr>
      <w:r>
        <w:rPr>
          <w:rFonts w:cs="Arial" w:ascii="Cambria" w:hAnsi="Cambria"/>
          <w:bCs/>
          <w:sz w:val="22"/>
          <w:szCs w:val="22"/>
        </w:rPr>
      </w:r>
    </w:p>
    <w:p>
      <w:pPr>
        <w:pStyle w:val="Nagwek61"/>
        <w:numPr>
          <w:ilvl w:val="5"/>
          <w:numId w:val="20"/>
        </w:numPr>
        <w:tabs>
          <w:tab w:val="clear" w:pos="708"/>
          <w:tab w:val="left" w:pos="8460" w:leader="none"/>
        </w:tabs>
        <w:spacing w:lineRule="auto" w:line="276" w:before="120" w:after="120"/>
        <w:rPr/>
      </w:pPr>
      <w:r>
        <w:rPr>
          <w:rFonts w:ascii="Cambria" w:hAnsi="Cambria"/>
          <w:sz w:val="22"/>
          <w:szCs w:val="22"/>
        </w:rPr>
        <w:t>SPECYFIKACJA</w:t>
      </w:r>
      <w:r>
        <w:rPr>
          <w:rFonts w:eastAsia="Tahoma" w:ascii="Cambria" w:hAnsi="Cambria"/>
          <w:sz w:val="22"/>
          <w:szCs w:val="22"/>
        </w:rPr>
        <w:t xml:space="preserve"> </w:t>
      </w:r>
      <w:r>
        <w:rPr>
          <w:rFonts w:ascii="Cambria" w:hAnsi="Cambria"/>
          <w:sz w:val="22"/>
          <w:szCs w:val="22"/>
        </w:rPr>
        <w:t>WARUNKÓ</w:t>
      </w:r>
      <w:r>
        <w:rPr>
          <w:rFonts w:eastAsia="Tahoma" w:ascii="Cambria" w:hAnsi="Cambria"/>
          <w:sz w:val="22"/>
          <w:szCs w:val="22"/>
        </w:rPr>
        <w:t xml:space="preserve">W </w:t>
      </w:r>
      <w:r>
        <w:rPr>
          <w:rFonts w:ascii="Cambria" w:hAnsi="Cambria"/>
          <w:sz w:val="22"/>
          <w:szCs w:val="22"/>
        </w:rPr>
        <w:t>ZAMÓWIENIA</w:t>
      </w:r>
    </w:p>
    <w:p>
      <w:pPr>
        <w:pStyle w:val="Normal"/>
        <w:tabs>
          <w:tab w:val="clear" w:pos="708"/>
          <w:tab w:val="left" w:pos="5775" w:leader="none"/>
        </w:tabs>
        <w:spacing w:lineRule="auto" w:line="276" w:before="120" w:after="120"/>
        <w:rPr/>
      </w:pPr>
      <w:r>
        <w:rPr>
          <w:rFonts w:cs="Arial" w:ascii="Cambria" w:hAnsi="Cambria"/>
          <w:bCs/>
          <w:sz w:val="22"/>
          <w:szCs w:val="22"/>
        </w:rPr>
        <w:tab/>
      </w:r>
    </w:p>
    <w:p>
      <w:pPr>
        <w:pStyle w:val="Normal"/>
        <w:spacing w:lineRule="auto" w:line="276" w:before="120" w:after="120"/>
        <w:jc w:val="center"/>
        <w:rPr>
          <w:rFonts w:ascii="Cambria" w:hAnsi="Cambria" w:cs="Arial"/>
          <w:bCs/>
          <w:sz w:val="22"/>
          <w:szCs w:val="22"/>
        </w:rPr>
      </w:pPr>
      <w:r>
        <w:rPr>
          <w:rFonts w:cs="Arial" w:ascii="Cambria" w:hAnsi="Cambria"/>
          <w:bCs/>
          <w:sz w:val="22"/>
          <w:szCs w:val="22"/>
        </w:rPr>
      </w:r>
    </w:p>
    <w:p>
      <w:pPr>
        <w:pStyle w:val="Nagwek71"/>
        <w:numPr>
          <w:ilvl w:val="6"/>
          <w:numId w:val="23"/>
        </w:numPr>
        <w:spacing w:lineRule="auto" w:line="276" w:before="120" w:after="120"/>
        <w:jc w:val="center"/>
        <w:rPr>
          <w:rFonts w:ascii="Cambria" w:hAnsi="Cambria" w:cs="Arial"/>
          <w:sz w:val="22"/>
          <w:szCs w:val="22"/>
        </w:rPr>
      </w:pPr>
      <w:r>
        <w:rPr>
          <w:rFonts w:cs="Arial" w:ascii="Cambria" w:hAnsi="Cambria"/>
          <w:sz w:val="22"/>
          <w:szCs w:val="22"/>
        </w:rPr>
      </w:r>
    </w:p>
    <w:p>
      <w:pPr>
        <w:pStyle w:val="Normal"/>
        <w:spacing w:lineRule="auto" w:line="276"/>
        <w:jc w:val="both"/>
        <w:rPr/>
      </w:pPr>
      <w:r>
        <w:rPr>
          <w:rFonts w:cs="Arial" w:ascii="Cambria" w:hAnsi="Cambria"/>
          <w:sz w:val="22"/>
          <w:szCs w:val="22"/>
        </w:rPr>
        <w:t xml:space="preserve">Gmina Skała zaprasza do składania ofert w postępowaniu o udzielenie zamówienia publicznego na wykonanie robót budowlanych pod nazwą: </w:t>
      </w:r>
      <w:r>
        <w:rPr>
          <w:rFonts w:cs="Arial" w:ascii="Cambria" w:hAnsi="Cambria"/>
          <w:b/>
          <w:bCs/>
          <w:sz w:val="22"/>
          <w:szCs w:val="22"/>
        </w:rPr>
        <w:t>„Budowa budynku służącego celom kulturalnym i społecznym w Rzeplinie</w:t>
      </w:r>
      <w:r>
        <w:rPr>
          <w:rStyle w:val="FontStyle28"/>
          <w:rFonts w:cs="Calibri" w:ascii="Cambria" w:hAnsi="Cambria"/>
          <w:b/>
          <w:bCs/>
          <w:sz w:val="22"/>
          <w:szCs w:val="22"/>
          <w:lang w:eastAsia="pl-PL"/>
        </w:rPr>
        <w:t>”</w:t>
      </w:r>
    </w:p>
    <w:p>
      <w:pPr>
        <w:pStyle w:val="Normal"/>
        <w:spacing w:lineRule="auto" w:line="276" w:before="120" w:after="120"/>
        <w:jc w:val="both"/>
        <w:rPr>
          <w:rFonts w:ascii="Cambria" w:hAnsi="Cambria" w:cs="Arial"/>
          <w:bCs/>
          <w:sz w:val="22"/>
          <w:szCs w:val="22"/>
        </w:rPr>
      </w:pPr>
      <w:r>
        <w:rPr>
          <w:rFonts w:cs="Arial" w:ascii="Cambria" w:hAnsi="Cambria"/>
          <w:bCs/>
          <w:sz w:val="22"/>
          <w:szCs w:val="22"/>
        </w:rPr>
      </w:r>
    </w:p>
    <w:p>
      <w:pPr>
        <w:pStyle w:val="Normal"/>
        <w:spacing w:lineRule="auto" w:line="276" w:before="120" w:after="120"/>
        <w:jc w:val="both"/>
        <w:rPr>
          <w:rFonts w:ascii="Cambria" w:hAnsi="Cambria" w:cs="Arial"/>
          <w:bCs/>
          <w:sz w:val="22"/>
          <w:szCs w:val="22"/>
        </w:rPr>
      </w:pPr>
      <w:r>
        <w:rPr>
          <w:rFonts w:cs="Arial" w:ascii="Cambria" w:hAnsi="Cambria"/>
          <w:bCs/>
          <w:sz w:val="22"/>
          <w:szCs w:val="22"/>
        </w:rPr>
      </w:r>
    </w:p>
    <w:p>
      <w:pPr>
        <w:pStyle w:val="Normal"/>
        <w:widowControl/>
        <w:suppressAutoHyphens w:val="true"/>
        <w:bidi w:val="0"/>
        <w:spacing w:lineRule="auto" w:line="276" w:before="120" w:after="120"/>
        <w:ind w:hanging="0" w:left="4592" w:right="0"/>
        <w:jc w:val="center"/>
        <w:rPr/>
      </w:pPr>
      <w:r>
        <w:rPr>
          <w:rFonts w:eastAsia="Tahoma" w:cs="Arial" w:ascii="Cambria" w:hAnsi="Cambria"/>
          <w:bCs/>
          <w:sz w:val="22"/>
          <w:szCs w:val="22"/>
        </w:rPr>
        <w:t xml:space="preserve">Z </w:t>
      </w:r>
      <w:r>
        <w:rPr>
          <w:rFonts w:cs="Arial" w:ascii="Cambria" w:hAnsi="Cambria"/>
          <w:bCs/>
          <w:sz w:val="22"/>
          <w:szCs w:val="22"/>
        </w:rPr>
        <w:t>a</w:t>
      </w:r>
      <w:r>
        <w:rPr>
          <w:rFonts w:eastAsia="Tahoma" w:cs="Arial" w:ascii="Cambria" w:hAnsi="Cambria"/>
          <w:bCs/>
          <w:sz w:val="22"/>
          <w:szCs w:val="22"/>
        </w:rPr>
        <w:t xml:space="preserve"> </w:t>
      </w:r>
      <w:r>
        <w:rPr>
          <w:rFonts w:cs="Arial" w:ascii="Cambria" w:hAnsi="Cambria"/>
          <w:bCs/>
          <w:sz w:val="22"/>
          <w:szCs w:val="22"/>
        </w:rPr>
        <w:t>t</w:t>
      </w:r>
      <w:r>
        <w:rPr>
          <w:rFonts w:eastAsia="Tahoma" w:cs="Arial" w:ascii="Cambria" w:hAnsi="Cambria"/>
          <w:bCs/>
          <w:sz w:val="22"/>
          <w:szCs w:val="22"/>
        </w:rPr>
        <w:t xml:space="preserve"> </w:t>
      </w:r>
      <w:r>
        <w:rPr>
          <w:rFonts w:cs="Arial" w:ascii="Cambria" w:hAnsi="Cambria"/>
          <w:bCs/>
          <w:sz w:val="22"/>
          <w:szCs w:val="22"/>
        </w:rPr>
        <w:t>w</w:t>
      </w:r>
      <w:r>
        <w:rPr>
          <w:rFonts w:eastAsia="Tahoma" w:cs="Arial" w:ascii="Cambria" w:hAnsi="Cambria"/>
          <w:bCs/>
          <w:sz w:val="22"/>
          <w:szCs w:val="22"/>
        </w:rPr>
        <w:t xml:space="preserve"> </w:t>
      </w:r>
      <w:r>
        <w:rPr>
          <w:rFonts w:cs="Arial" w:ascii="Cambria" w:hAnsi="Cambria"/>
          <w:bCs/>
          <w:sz w:val="22"/>
          <w:szCs w:val="22"/>
        </w:rPr>
        <w:t>i</w:t>
      </w:r>
      <w:r>
        <w:rPr>
          <w:rFonts w:eastAsia="Tahoma" w:cs="Arial" w:ascii="Cambria" w:hAnsi="Cambria"/>
          <w:bCs/>
          <w:sz w:val="22"/>
          <w:szCs w:val="22"/>
        </w:rPr>
        <w:t xml:space="preserve"> </w:t>
      </w:r>
      <w:r>
        <w:rPr>
          <w:rFonts w:cs="Arial" w:ascii="Cambria" w:hAnsi="Cambria"/>
          <w:bCs/>
          <w:sz w:val="22"/>
          <w:szCs w:val="22"/>
        </w:rPr>
        <w:t>e</w:t>
      </w:r>
      <w:r>
        <w:rPr>
          <w:rFonts w:eastAsia="Tahoma" w:cs="Arial" w:ascii="Cambria" w:hAnsi="Cambria"/>
          <w:bCs/>
          <w:sz w:val="22"/>
          <w:szCs w:val="22"/>
        </w:rPr>
        <w:t xml:space="preserve"> </w:t>
      </w:r>
      <w:r>
        <w:rPr>
          <w:rFonts w:cs="Arial" w:ascii="Cambria" w:hAnsi="Cambria"/>
          <w:bCs/>
          <w:sz w:val="22"/>
          <w:szCs w:val="22"/>
        </w:rPr>
        <w:t>r</w:t>
      </w:r>
      <w:r>
        <w:rPr>
          <w:rFonts w:eastAsia="Tahoma" w:cs="Arial" w:ascii="Cambria" w:hAnsi="Cambria"/>
          <w:bCs/>
          <w:sz w:val="22"/>
          <w:szCs w:val="22"/>
        </w:rPr>
        <w:t xml:space="preserve"> </w:t>
      </w:r>
      <w:r>
        <w:rPr>
          <w:rFonts w:cs="Arial" w:ascii="Cambria" w:hAnsi="Cambria"/>
          <w:bCs/>
          <w:sz w:val="22"/>
          <w:szCs w:val="22"/>
        </w:rPr>
        <w:t>d</w:t>
      </w:r>
      <w:r>
        <w:rPr>
          <w:rFonts w:eastAsia="Tahoma" w:cs="Arial" w:ascii="Cambria" w:hAnsi="Cambria"/>
          <w:bCs/>
          <w:sz w:val="22"/>
          <w:szCs w:val="22"/>
        </w:rPr>
        <w:t xml:space="preserve"> </w:t>
      </w:r>
      <w:r>
        <w:rPr>
          <w:rFonts w:cs="Arial" w:ascii="Cambria" w:hAnsi="Cambria"/>
          <w:bCs/>
          <w:sz w:val="22"/>
          <w:szCs w:val="22"/>
        </w:rPr>
        <w:t>z</w:t>
      </w:r>
      <w:r>
        <w:rPr>
          <w:rFonts w:eastAsia="Tahoma" w:cs="Arial" w:ascii="Cambria" w:hAnsi="Cambria"/>
          <w:bCs/>
          <w:sz w:val="22"/>
          <w:szCs w:val="22"/>
        </w:rPr>
        <w:t xml:space="preserve"> </w:t>
      </w:r>
      <w:r>
        <w:rPr>
          <w:rFonts w:cs="Arial" w:ascii="Cambria" w:hAnsi="Cambria"/>
          <w:bCs/>
          <w:sz w:val="22"/>
          <w:szCs w:val="22"/>
        </w:rPr>
        <w:t>a</w:t>
      </w:r>
      <w:r>
        <w:rPr>
          <w:rFonts w:eastAsia="Tahoma" w:cs="Arial" w:ascii="Cambria" w:hAnsi="Cambria"/>
          <w:bCs/>
          <w:sz w:val="22"/>
          <w:szCs w:val="22"/>
        </w:rPr>
        <w:t xml:space="preserve"> </w:t>
      </w:r>
      <w:r>
        <w:rPr>
          <w:rFonts w:cs="Arial" w:ascii="Cambria" w:hAnsi="Cambria"/>
          <w:bCs/>
          <w:sz w:val="22"/>
          <w:szCs w:val="22"/>
        </w:rPr>
        <w:t>m,</w:t>
      </w:r>
    </w:p>
    <w:p>
      <w:pPr>
        <w:pStyle w:val="Normal"/>
        <w:widowControl/>
        <w:suppressAutoHyphens w:val="true"/>
        <w:bidi w:val="0"/>
        <w:spacing w:lineRule="auto" w:line="276" w:before="120" w:after="120"/>
        <w:ind w:hanging="0" w:left="4592" w:right="0"/>
        <w:jc w:val="center"/>
        <w:rPr>
          <w:rFonts w:ascii="Cambria" w:hAnsi="Cambria" w:cs="Arial"/>
          <w:bCs/>
          <w:sz w:val="22"/>
          <w:szCs w:val="22"/>
        </w:rPr>
      </w:pPr>
      <w:r>
        <w:rPr>
          <w:rFonts w:cs="Arial" w:ascii="Cambria" w:hAnsi="Cambria"/>
          <w:bCs/>
          <w:sz w:val="22"/>
          <w:szCs w:val="22"/>
        </w:rPr>
      </w:r>
    </w:p>
    <w:p>
      <w:pPr>
        <w:pStyle w:val="Normal"/>
        <w:widowControl/>
        <w:suppressAutoHyphens w:val="true"/>
        <w:bidi w:val="0"/>
        <w:spacing w:lineRule="auto" w:line="276" w:before="120" w:after="120"/>
        <w:ind w:hanging="0" w:left="4592" w:right="0"/>
        <w:jc w:val="center"/>
        <w:rPr>
          <w:rFonts w:ascii="Cambria" w:hAnsi="Cambria" w:cs="Arial"/>
          <w:bCs/>
          <w:sz w:val="22"/>
          <w:szCs w:val="22"/>
        </w:rPr>
      </w:pPr>
      <w:r>
        <w:rPr>
          <w:rFonts w:cs="Arial" w:ascii="Cambria" w:hAnsi="Cambria"/>
          <w:bCs/>
          <w:sz w:val="22"/>
          <w:szCs w:val="22"/>
        </w:rPr>
      </w:r>
    </w:p>
    <w:p>
      <w:pPr>
        <w:pStyle w:val="Normal"/>
        <w:widowControl/>
        <w:suppressAutoHyphens w:val="true"/>
        <w:bidi w:val="0"/>
        <w:spacing w:lineRule="auto" w:line="276" w:before="120" w:after="120"/>
        <w:ind w:hanging="0" w:left="4592" w:right="0"/>
        <w:jc w:val="center"/>
        <w:rPr/>
      </w:pPr>
      <w:r>
        <w:rPr>
          <w:rFonts w:cs="Arial" w:ascii="Cambria" w:hAnsi="Cambria"/>
          <w:bCs/>
          <w:sz w:val="22"/>
          <w:szCs w:val="22"/>
        </w:rPr>
        <w:t>……………</w:t>
      </w:r>
      <w:r>
        <w:rPr>
          <w:rFonts w:cs="Arial" w:ascii="Cambria" w:hAnsi="Cambria"/>
          <w:bCs/>
          <w:sz w:val="22"/>
          <w:szCs w:val="22"/>
        </w:rPr>
        <w:t>..………………………………………………..</w:t>
      </w:r>
    </w:p>
    <w:p>
      <w:pPr>
        <w:pStyle w:val="Normal"/>
        <w:spacing w:lineRule="auto" w:line="276" w:before="120" w:after="120"/>
        <w:ind w:left="464"/>
        <w:jc w:val="both"/>
        <w:rPr>
          <w:rFonts w:ascii="Cambria" w:hAnsi="Cambria" w:eastAsia="Tahoma" w:cs="Arial"/>
          <w:b/>
          <w:sz w:val="22"/>
          <w:szCs w:val="22"/>
        </w:rPr>
      </w:pPr>
      <w:r>
        <w:rPr>
          <w:rFonts w:eastAsia="Tahoma" w:cs="Arial" w:ascii="Cambria" w:hAnsi="Cambria"/>
          <w:b/>
          <w:sz w:val="22"/>
          <w:szCs w:val="22"/>
        </w:rPr>
      </w:r>
    </w:p>
    <w:p>
      <w:pPr>
        <w:pStyle w:val="Normal"/>
        <w:spacing w:lineRule="auto" w:line="276" w:before="120" w:after="120"/>
        <w:ind w:left="464"/>
        <w:jc w:val="both"/>
        <w:rPr>
          <w:rFonts w:ascii="Cambria" w:hAnsi="Cambria" w:eastAsia="Tahoma" w:cs="Arial"/>
          <w:b/>
          <w:sz w:val="22"/>
          <w:szCs w:val="22"/>
        </w:rPr>
      </w:pPr>
      <w:r>
        <w:rPr>
          <w:rFonts w:eastAsia="Tahoma" w:cs="Arial" w:ascii="Cambria" w:hAnsi="Cambria"/>
          <w:b/>
          <w:sz w:val="22"/>
          <w:szCs w:val="22"/>
        </w:rPr>
      </w:r>
    </w:p>
    <w:p>
      <w:pPr>
        <w:pStyle w:val="BodyText"/>
        <w:spacing w:lineRule="auto" w:line="276" w:before="120" w:after="120"/>
        <w:rPr/>
      </w:pPr>
      <w:r>
        <w:rPr>
          <w:rFonts w:eastAsia="Tahoma" w:ascii="Cambria" w:hAnsi="Cambria"/>
          <w:sz w:val="22"/>
          <w:szCs w:val="22"/>
        </w:rPr>
        <w:t xml:space="preserve">Projekt pt. </w:t>
      </w:r>
      <w:r>
        <w:rPr>
          <w:rFonts w:eastAsia="Tahoma" w:ascii="Cambria" w:hAnsi="Cambria"/>
          <w:b/>
          <w:sz w:val="22"/>
          <w:szCs w:val="22"/>
        </w:rPr>
        <w:t xml:space="preserve">„Budowa budynku służącego celom kulturalnym i społecznym w Rzeplinie” </w:t>
      </w:r>
      <w:r>
        <w:rPr>
          <w:rFonts w:eastAsia="Tahoma" w:ascii="Cambria" w:hAnsi="Cambria"/>
          <w:sz w:val="22"/>
          <w:szCs w:val="22"/>
        </w:rPr>
        <w:t xml:space="preserve">finansowany w ramach Priorytetu 7 Fundusze europejskie dla wspólnot lokalnych, Działanie 7.2 ZIT – Wsparcie oddolnych inicjatyw na obszarach miejskich, </w:t>
      </w:r>
    </w:p>
    <w:p>
      <w:pPr>
        <w:pStyle w:val="BodyText"/>
        <w:spacing w:lineRule="auto" w:line="276" w:before="120" w:after="120"/>
        <w:rPr/>
      </w:pPr>
      <w:r>
        <w:rPr>
          <w:rFonts w:eastAsia="Tahoma" w:ascii="Cambria" w:hAnsi="Cambria"/>
          <w:sz w:val="22"/>
          <w:szCs w:val="22"/>
        </w:rPr>
        <w:t xml:space="preserve">Typ projektu z SzOP: A. Infrastruktura kultury, z Europejskiego Funduszu Rozwoju Regionalnego. </w:t>
      </w:r>
    </w:p>
    <w:p>
      <w:pPr>
        <w:pStyle w:val="BodyText"/>
        <w:spacing w:lineRule="auto" w:line="276" w:before="120" w:after="120"/>
        <w:rPr/>
      </w:pPr>
      <w:r>
        <w:rPr>
          <w:rFonts w:eastAsia="Tahoma" w:ascii="Cambria" w:hAnsi="Cambria"/>
          <w:sz w:val="22"/>
          <w:szCs w:val="22"/>
        </w:rPr>
        <w:t>Program: Fundusze Europejskie dla Małopolski 2021-2027.</w:t>
      </w:r>
    </w:p>
    <w:p>
      <w:pPr>
        <w:pStyle w:val="BodyText"/>
        <w:spacing w:lineRule="auto" w:line="276" w:before="120" w:after="120"/>
        <w:rPr>
          <w:rFonts w:ascii="Cambria" w:hAnsi="Cambria"/>
          <w:sz w:val="22"/>
          <w:szCs w:val="22"/>
        </w:rPr>
      </w:pPr>
      <w:r>
        <w:rPr>
          <w:rFonts w:ascii="Cambria" w:hAnsi="Cambria"/>
          <w:sz w:val="22"/>
          <w:szCs w:val="22"/>
        </w:rPr>
      </w:r>
      <w:r>
        <w:br w:type="page"/>
      </w:r>
    </w:p>
    <w:p>
      <w:pPr>
        <w:pStyle w:val="Normal"/>
        <w:spacing w:lineRule="auto" w:line="276" w:before="0" w:after="120"/>
        <w:jc w:val="both"/>
        <w:rPr>
          <w:rFonts w:ascii="Cambria" w:hAnsi="Cambria"/>
          <w:sz w:val="22"/>
          <w:szCs w:val="22"/>
        </w:rPr>
      </w:pPr>
      <w:r>
        <w:rPr>
          <w:rFonts w:ascii="Cambria" w:hAnsi="Cambria"/>
          <w:sz w:val="22"/>
          <w:szCs w:val="22"/>
        </w:rPr>
      </w:r>
    </w:p>
    <w:p>
      <w:pPr>
        <w:pStyle w:val="Normal"/>
        <w:numPr>
          <w:ilvl w:val="0"/>
          <w:numId w:val="1"/>
        </w:numPr>
        <w:spacing w:lineRule="auto" w:line="276" w:before="120" w:after="120"/>
        <w:jc w:val="both"/>
        <w:rPr/>
      </w:pPr>
      <w:r>
        <w:rPr>
          <w:rFonts w:cs="Arial" w:ascii="Cambria" w:hAnsi="Cambria"/>
          <w:b/>
          <w:sz w:val="22"/>
          <w:szCs w:val="22"/>
        </w:rPr>
        <w:t>INFORMACJE</w:t>
      </w:r>
      <w:r>
        <w:rPr>
          <w:rFonts w:eastAsia="Tahoma" w:cs="Arial" w:ascii="Cambria" w:hAnsi="Cambria"/>
          <w:b/>
          <w:sz w:val="22"/>
          <w:szCs w:val="22"/>
        </w:rPr>
        <w:t xml:space="preserve"> </w:t>
      </w:r>
      <w:r>
        <w:rPr>
          <w:rFonts w:cs="Arial" w:ascii="Cambria" w:hAnsi="Cambria"/>
          <w:b/>
          <w:sz w:val="22"/>
          <w:szCs w:val="22"/>
        </w:rPr>
        <w:t>OGÓLNE</w:t>
      </w:r>
    </w:p>
    <w:p>
      <w:pPr>
        <w:pStyle w:val="Domylnie"/>
        <w:numPr>
          <w:ilvl w:val="0"/>
          <w:numId w:val="2"/>
        </w:numPr>
        <w:tabs>
          <w:tab w:val="left" w:pos="708" w:leader="none"/>
          <w:tab w:val="left" w:pos="851" w:leader="none"/>
        </w:tabs>
        <w:spacing w:lineRule="auto" w:line="276" w:before="120" w:after="120"/>
        <w:jc w:val="both"/>
        <w:rPr/>
      </w:pPr>
      <w:r>
        <w:rPr>
          <w:rStyle w:val="FontStyle28"/>
          <w:rFonts w:ascii="Cambria" w:hAnsi="Cambria"/>
          <w:color w:val="auto"/>
          <w:sz w:val="22"/>
          <w:szCs w:val="22"/>
          <w:lang w:eastAsia="pl-PL"/>
        </w:rPr>
        <w:t xml:space="preserve">Nazwa Zamawiającego: </w:t>
      </w:r>
    </w:p>
    <w:p>
      <w:pPr>
        <w:pStyle w:val="Domylnie"/>
        <w:tabs>
          <w:tab w:val="left" w:pos="708" w:leader="none"/>
          <w:tab w:val="left" w:pos="851" w:leader="none"/>
        </w:tabs>
        <w:spacing w:lineRule="auto" w:line="276" w:before="6" w:after="6"/>
        <w:ind w:left="360"/>
        <w:rPr/>
      </w:pPr>
      <w:r>
        <w:rPr>
          <w:rStyle w:val="FontStyle28"/>
          <w:rFonts w:ascii="Cambria" w:hAnsi="Cambria"/>
          <w:color w:val="auto"/>
          <w:sz w:val="22"/>
          <w:szCs w:val="22"/>
        </w:rPr>
        <w:t xml:space="preserve">Gmina Skała, </w:t>
        <w:br/>
        <w:t xml:space="preserve">32-043 Skała, Rynek 29 </w:t>
        <w:br/>
        <w:t>tel. 12 389 10 98</w:t>
        <w:br/>
        <w:t xml:space="preserve">poczta elektroniczna (e–mail): </w:t>
      </w:r>
      <w:hyperlink r:id="rId2">
        <w:r>
          <w:rPr>
            <w:rStyle w:val="Hyperlink"/>
            <w:rFonts w:cs="Arial" w:ascii="Cambria" w:hAnsi="Cambria"/>
            <w:sz w:val="22"/>
            <w:szCs w:val="22"/>
          </w:rPr>
          <w:t>skala@skala.pl</w:t>
        </w:r>
      </w:hyperlink>
      <w:r>
        <w:rPr>
          <w:rStyle w:val="Hyperlink"/>
          <w:rFonts w:cs="Arial" w:ascii="Cambria" w:hAnsi="Cambria"/>
          <w:color w:val="auto"/>
          <w:sz w:val="22"/>
          <w:szCs w:val="22"/>
        </w:rPr>
        <w:t xml:space="preserve"> </w:t>
        <w:br/>
      </w:r>
      <w:r>
        <w:rPr>
          <w:rFonts w:cs="Arial" w:ascii="Cambria" w:hAnsi="Cambria"/>
          <w:sz w:val="22"/>
          <w:szCs w:val="22"/>
        </w:rPr>
        <w:t>ePUAP:</w:t>
      </w:r>
      <w:r>
        <w:rPr>
          <w:rStyle w:val="Nagwek1Znak"/>
          <w:rFonts w:cs="Arial" w:ascii="Cambria" w:hAnsi="Cambria"/>
          <w:color w:val="333333"/>
          <w:sz w:val="22"/>
          <w:szCs w:val="22"/>
          <w:shd w:fill="FFFFFF" w:val="clear"/>
        </w:rPr>
        <w:t xml:space="preserve"> </w:t>
      </w:r>
      <w:r>
        <w:rPr>
          <w:rStyle w:val="Strong"/>
          <w:rFonts w:cs="Arial" w:ascii="Cambria" w:hAnsi="Cambria"/>
          <w:color w:val="333333"/>
          <w:sz w:val="22"/>
          <w:szCs w:val="22"/>
          <w:shd w:fill="FFFFFF" w:val="clear"/>
        </w:rPr>
        <w:t>/u16ypa49k4/skrytka</w:t>
      </w:r>
      <w:r>
        <w:rPr>
          <w:rStyle w:val="Hyperlink"/>
          <w:rFonts w:cs="Arial" w:ascii="Cambria" w:hAnsi="Cambria"/>
          <w:sz w:val="22"/>
          <w:szCs w:val="22"/>
        </w:rPr>
        <w:t xml:space="preserve"> </w:t>
      </w:r>
    </w:p>
    <w:p>
      <w:pPr>
        <w:pStyle w:val="Domylnie"/>
        <w:tabs>
          <w:tab w:val="left" w:pos="708" w:leader="none"/>
          <w:tab w:val="left" w:pos="851" w:leader="none"/>
        </w:tabs>
        <w:spacing w:lineRule="auto" w:line="276" w:before="120" w:after="120"/>
        <w:ind w:left="360"/>
        <w:rPr/>
      </w:pPr>
      <w:r>
        <w:rPr>
          <w:rStyle w:val="FontStyle28"/>
          <w:rFonts w:ascii="Cambria" w:hAnsi="Cambria"/>
          <w:color w:val="auto"/>
          <w:sz w:val="22"/>
          <w:szCs w:val="22"/>
          <w:lang w:eastAsia="pl-PL"/>
        </w:rPr>
        <w:t>adres strony internetowej na której udostępniane będą zmiany i wyjaśnienia SWZ oraz inne dokumenty zamówienia</w:t>
      </w:r>
      <w:r>
        <w:rPr>
          <w:rStyle w:val="FontStyle28"/>
          <w:rFonts w:ascii="Cambria" w:hAnsi="Cambria"/>
          <w:color w:val="FF0000"/>
          <w:sz w:val="22"/>
          <w:szCs w:val="22"/>
          <w:lang w:eastAsia="pl-PL"/>
        </w:rPr>
        <w:t>:</w:t>
      </w:r>
    </w:p>
    <w:p>
      <w:pPr>
        <w:pStyle w:val="Domylnie"/>
        <w:tabs>
          <w:tab w:val="left" w:pos="708" w:leader="none"/>
          <w:tab w:val="left" w:pos="851" w:leader="none"/>
        </w:tabs>
        <w:spacing w:lineRule="auto" w:line="276" w:before="120" w:after="120"/>
        <w:ind w:left="360"/>
        <w:rPr/>
      </w:pPr>
      <w:hyperlink r:id="rId3">
        <w:r>
          <w:rPr>
            <w:rStyle w:val="Hyperlink"/>
            <w:rFonts w:cs="Arial" w:ascii="Arial" w:hAnsi="Arial"/>
            <w:color w:val="000000"/>
            <w:sz w:val="22"/>
            <w:szCs w:val="22"/>
            <w:lang w:eastAsia="pl-PL"/>
          </w:rPr>
          <w:t>https://ezamowienia.gov.pl/mp-client/search/list/ocds-148610-48fc91f8-bd7f-49ba-a72e-2c5d0d0fc2d6</w:t>
        </w:r>
      </w:hyperlink>
      <w:r>
        <w:rPr>
          <w:rStyle w:val="FontStyle28"/>
          <w:rFonts w:ascii="Cambria" w:hAnsi="Cambria"/>
          <w:color w:val="000000"/>
          <w:sz w:val="22"/>
          <w:szCs w:val="22"/>
          <w:lang w:eastAsia="pl-PL"/>
        </w:rPr>
        <w:t xml:space="preserve"> </w:t>
      </w:r>
    </w:p>
    <w:p>
      <w:pPr>
        <w:pStyle w:val="Domylnie"/>
        <w:numPr>
          <w:ilvl w:val="0"/>
          <w:numId w:val="2"/>
        </w:numPr>
        <w:tabs>
          <w:tab w:val="left" w:pos="708" w:leader="none"/>
          <w:tab w:val="left" w:pos="851" w:leader="none"/>
        </w:tabs>
        <w:spacing w:lineRule="auto" w:line="276" w:before="120" w:after="120"/>
        <w:jc w:val="both"/>
        <w:rPr/>
      </w:pPr>
      <w:r>
        <w:rPr>
          <w:rStyle w:val="FontStyle28"/>
          <w:rFonts w:ascii="Cambria" w:hAnsi="Cambria"/>
          <w:color w:val="auto"/>
          <w:sz w:val="22"/>
          <w:szCs w:val="22"/>
          <w:lang w:eastAsia="pl-PL"/>
        </w:rPr>
        <w:t>Tryb postępowania:</w:t>
      </w:r>
    </w:p>
    <w:p>
      <w:pPr>
        <w:pStyle w:val="Normal"/>
        <w:numPr>
          <w:ilvl w:val="1"/>
          <w:numId w:val="2"/>
        </w:numPr>
        <w:tabs>
          <w:tab w:val="clear" w:pos="708"/>
          <w:tab w:val="left" w:pos="851" w:leader="none"/>
        </w:tabs>
        <w:suppressAutoHyphens w:val="false"/>
        <w:spacing w:lineRule="auto" w:line="276" w:before="120" w:after="120"/>
        <w:jc w:val="both"/>
        <w:rPr/>
      </w:pPr>
      <w:r>
        <w:rPr>
          <w:rStyle w:val="FontStyle28"/>
          <w:rFonts w:eastAsia="Lucida Sans Unicode" w:ascii="Cambria" w:hAnsi="Cambria"/>
          <w:sz w:val="22"/>
          <w:szCs w:val="22"/>
          <w:lang w:eastAsia="pl-PL"/>
        </w:rPr>
        <w:t>Postępowanie</w:t>
      </w:r>
      <w:r>
        <w:rPr>
          <w:rStyle w:val="FontStyle28"/>
          <w:rFonts w:eastAsia="Lucida Sans Unicode" w:ascii="Cambria" w:hAnsi="Cambria"/>
          <w:color w:val="000000"/>
          <w:sz w:val="22"/>
          <w:szCs w:val="22"/>
          <w:lang w:eastAsia="pl-PL"/>
        </w:rPr>
        <w:t xml:space="preserve"> jest prowadzone z zastosowaniem przepisów ustawy </w:t>
        <w:br/>
        <w:t xml:space="preserve">z dnia 11 września 2019r. Prawo zamówień publicznych </w:t>
      </w:r>
      <w:r>
        <w:rPr>
          <w:rFonts w:ascii="Cambria" w:hAnsi="Cambria"/>
          <w:color w:val="000000"/>
          <w:spacing w:val="-5"/>
          <w:sz w:val="22"/>
          <w:szCs w:val="22"/>
        </w:rPr>
        <w:t>(</w:t>
      </w:r>
      <w:r>
        <w:rPr>
          <w:rFonts w:eastAsia="Lucida Sans Unicode" w:cs="Calibri" w:ascii="Cambria" w:hAnsi="Cambria"/>
          <w:color w:val="000000"/>
          <w:sz w:val="22"/>
          <w:szCs w:val="22"/>
          <w:lang w:eastAsia="pl-PL"/>
        </w:rPr>
        <w:t>t.j</w:t>
      </w:r>
      <w:bookmarkStart w:id="1" w:name="_Hlk213852330"/>
      <w:r>
        <w:rPr>
          <w:rFonts w:ascii="Cambria" w:hAnsi="Cambria"/>
          <w:color w:val="000000"/>
          <w:sz w:val="22"/>
          <w:szCs w:val="22"/>
        </w:rPr>
        <w:t xml:space="preserve">  Dz. U. z 2024 r. poz. 1320, z 2025 r. poz. 620, 769, 794, </w:t>
      </w:r>
      <w:r>
        <w:rPr>
          <w:color w:val="000000"/>
        </w:rPr>
        <w:t>1165, 1173, 1235</w:t>
      </w:r>
      <w:bookmarkEnd w:id="1"/>
      <w:r>
        <w:rPr>
          <w:rFonts w:ascii="Cambria" w:hAnsi="Cambria"/>
          <w:color w:val="000000"/>
          <w:spacing w:val="-5"/>
          <w:sz w:val="22"/>
          <w:szCs w:val="22"/>
        </w:rPr>
        <w:t xml:space="preserve">) </w:t>
      </w:r>
      <w:r>
        <w:rPr>
          <w:rStyle w:val="FontStyle28"/>
          <w:rFonts w:eastAsia="Lucida Sans Unicode" w:ascii="Cambria" w:hAnsi="Cambria"/>
          <w:color w:val="000000"/>
          <w:sz w:val="22"/>
          <w:szCs w:val="22"/>
          <w:lang w:eastAsia="pl-PL"/>
        </w:rPr>
        <w:t>– zwanej dalej p.z.p., obowiązujących dla postępowań o udzielania zamówień klasycznych o wartości mniejszej niż progi unijne.</w:t>
      </w:r>
    </w:p>
    <w:p>
      <w:pPr>
        <w:pStyle w:val="Normal"/>
        <w:numPr>
          <w:ilvl w:val="1"/>
          <w:numId w:val="2"/>
        </w:numPr>
        <w:tabs>
          <w:tab w:val="clear" w:pos="708"/>
          <w:tab w:val="left" w:pos="851" w:leader="none"/>
        </w:tabs>
        <w:suppressAutoHyphens w:val="false"/>
        <w:spacing w:lineRule="auto" w:line="276" w:before="120" w:after="120"/>
        <w:jc w:val="both"/>
        <w:rPr/>
      </w:pPr>
      <w:r>
        <w:rPr>
          <w:rFonts w:cs="Arial" w:ascii="Cambria" w:hAnsi="Cambria"/>
          <w:color w:val="000000"/>
          <w:sz w:val="22"/>
          <w:szCs w:val="22"/>
        </w:rPr>
        <w:t xml:space="preserve">Postępowanie prowadzone jest w trybie podstawowym na podstawie </w:t>
        <w:br/>
        <w:t>art. 275 pkt. 2) p. z. p.</w:t>
      </w:r>
    </w:p>
    <w:p>
      <w:pPr>
        <w:pStyle w:val="Normal"/>
        <w:numPr>
          <w:ilvl w:val="1"/>
          <w:numId w:val="2"/>
        </w:numPr>
        <w:tabs>
          <w:tab w:val="clear" w:pos="708"/>
          <w:tab w:val="left" w:pos="851" w:leader="none"/>
        </w:tabs>
        <w:suppressAutoHyphens w:val="false"/>
        <w:spacing w:lineRule="auto" w:line="276" w:before="120" w:after="120"/>
        <w:jc w:val="both"/>
        <w:rPr/>
      </w:pPr>
      <w:r>
        <w:rPr>
          <w:rFonts w:cs="Arial" w:ascii="Cambria" w:hAnsi="Cambria"/>
          <w:color w:val="000000"/>
          <w:sz w:val="22"/>
          <w:szCs w:val="22"/>
        </w:rPr>
        <w:t xml:space="preserve">Zamawiający zakłada wybór oferty najkorzystniejszej z możliwością prowadzenia negocjacji treści ofert w celu ich ulepszenia. </w:t>
      </w:r>
    </w:p>
    <w:p>
      <w:pPr>
        <w:pStyle w:val="Normal"/>
        <w:numPr>
          <w:ilvl w:val="2"/>
          <w:numId w:val="2"/>
        </w:numPr>
        <w:tabs>
          <w:tab w:val="clear" w:pos="708"/>
          <w:tab w:val="left" w:pos="851" w:leader="none"/>
        </w:tabs>
        <w:suppressAutoHyphens w:val="false"/>
        <w:spacing w:lineRule="auto" w:line="276" w:before="120" w:after="120"/>
        <w:jc w:val="both"/>
        <w:rPr/>
      </w:pPr>
      <w:r>
        <w:rPr>
          <w:rFonts w:cs="Arial" w:ascii="Cambria" w:hAnsi="Cambria"/>
          <w:color w:val="000000"/>
          <w:sz w:val="22"/>
          <w:szCs w:val="22"/>
        </w:rPr>
        <w:t xml:space="preserve"> </w:t>
      </w:r>
      <w:r>
        <w:rPr>
          <w:rFonts w:cs="Arial" w:ascii="Cambria" w:hAnsi="Cambria"/>
          <w:color w:val="000000"/>
          <w:sz w:val="22"/>
          <w:szCs w:val="22"/>
        </w:rPr>
        <w:t>W przypadku prowadzenia negocjacji, Zamawiający po ich zakończeniu zaprosi wykonawców do składania ofert dodatkowych.</w:t>
      </w:r>
    </w:p>
    <w:p>
      <w:pPr>
        <w:pStyle w:val="Normal"/>
        <w:tabs>
          <w:tab w:val="clear" w:pos="708"/>
          <w:tab w:val="left" w:pos="851" w:leader="none"/>
        </w:tabs>
        <w:suppressAutoHyphens w:val="false"/>
        <w:spacing w:lineRule="auto" w:line="276" w:before="120" w:after="120"/>
        <w:ind w:left="1224"/>
        <w:jc w:val="both"/>
        <w:rPr/>
      </w:pPr>
      <w:r>
        <w:rPr>
          <w:rFonts w:cs="Arial" w:ascii="Cambria" w:hAnsi="Cambria"/>
          <w:color w:val="000000"/>
          <w:sz w:val="22"/>
          <w:szCs w:val="22"/>
        </w:rPr>
        <w:t>Zamawiający nie będzie ograniczał liczby wykonawców, którzy zostaną zaproszeni do negocjacji ofert. Do negocjacji zostaną zakwalifikowane wszystkie oferty niepodlegające odrzuceniu, złożone w odpowiedzi na ogłoszenie o zamówieniu.</w:t>
      </w:r>
    </w:p>
    <w:p>
      <w:pPr>
        <w:pStyle w:val="Normal"/>
        <w:numPr>
          <w:ilvl w:val="2"/>
          <w:numId w:val="2"/>
        </w:numPr>
        <w:tabs>
          <w:tab w:val="clear" w:pos="708"/>
          <w:tab w:val="left" w:pos="851" w:leader="none"/>
        </w:tabs>
        <w:suppressAutoHyphens w:val="false"/>
        <w:spacing w:lineRule="auto" w:line="276" w:before="120" w:after="120"/>
        <w:jc w:val="both"/>
        <w:rPr/>
      </w:pPr>
      <w:r>
        <w:rPr>
          <w:rFonts w:cs="Arial" w:ascii="Cambria" w:hAnsi="Cambria"/>
          <w:color w:val="000000"/>
          <w:sz w:val="22"/>
          <w:szCs w:val="22"/>
        </w:rPr>
        <w:t xml:space="preserve"> </w:t>
      </w:r>
      <w:r>
        <w:rPr>
          <w:rFonts w:cs="Arial" w:ascii="Cambria" w:hAnsi="Cambria"/>
          <w:color w:val="000000"/>
          <w:sz w:val="22"/>
          <w:szCs w:val="22"/>
        </w:rPr>
        <w:t>W przypadku prowadzenia negocjacji, będą one dotyczyć wyłącznie tych elementów treści oferty, które podlegają ocenie w ramach kryteriów oceny ofert. Prowadzone negocjacje nie będą mogły prowadzić do zmiany treści SWZ</w:t>
      </w:r>
    </w:p>
    <w:p>
      <w:pPr>
        <w:pStyle w:val="Normal"/>
        <w:numPr>
          <w:ilvl w:val="2"/>
          <w:numId w:val="2"/>
        </w:numPr>
        <w:tabs>
          <w:tab w:val="clear" w:pos="708"/>
          <w:tab w:val="left" w:pos="851" w:leader="none"/>
        </w:tabs>
        <w:suppressAutoHyphens w:val="false"/>
        <w:spacing w:lineRule="auto" w:line="276" w:before="120" w:after="120"/>
        <w:jc w:val="both"/>
        <w:rPr>
          <w:rFonts w:ascii="Cambria" w:hAnsi="Cambria" w:cs="Arial"/>
          <w:color w:val="000000"/>
          <w:sz w:val="22"/>
          <w:szCs w:val="22"/>
        </w:rPr>
      </w:pPr>
      <w:r>
        <w:rPr>
          <w:rFonts w:cs="Arial" w:ascii="Cambria" w:hAnsi="Cambria"/>
          <w:color w:val="000000"/>
          <w:sz w:val="22"/>
          <w:szCs w:val="22"/>
        </w:rPr>
        <w:t xml:space="preserve"> </w:t>
      </w:r>
      <w:r>
        <w:rPr>
          <w:rFonts w:cs="Arial" w:ascii="Cambria" w:hAnsi="Cambria"/>
          <w:color w:val="000000"/>
          <w:sz w:val="22"/>
          <w:szCs w:val="22"/>
        </w:rPr>
        <w:t>W przypadku decyzji Zamawiającego o wyborze oferty najkorzystniejszej bez negocjacji, wybór oferty najkorzystniejszej, zostanie dokonany spośród niepodlegających odrzuceniu ofert złożonych w odpowiedzi na ogłoszenie o zamówieniu.</w:t>
      </w:r>
    </w:p>
    <w:p>
      <w:pPr>
        <w:pStyle w:val="Domylnie"/>
        <w:numPr>
          <w:ilvl w:val="0"/>
          <w:numId w:val="2"/>
        </w:numPr>
        <w:tabs>
          <w:tab w:val="left" w:pos="708" w:leader="none"/>
          <w:tab w:val="left" w:pos="851" w:leader="none"/>
        </w:tabs>
        <w:suppressAutoHyphens w:val="false"/>
        <w:spacing w:lineRule="auto" w:line="276" w:before="0" w:after="120"/>
        <w:jc w:val="both"/>
        <w:rPr/>
      </w:pPr>
      <w:r>
        <w:rPr>
          <w:rFonts w:cs="Arial" w:ascii="Cambria" w:hAnsi="Cambria"/>
          <w:sz w:val="22"/>
          <w:szCs w:val="22"/>
        </w:rPr>
        <w:t>P</w:t>
      </w:r>
      <w:r>
        <w:rPr>
          <w:rStyle w:val="FontStyle28"/>
          <w:rFonts w:ascii="Cambria" w:hAnsi="Cambria"/>
          <w:sz w:val="22"/>
          <w:szCs w:val="22"/>
          <w:lang w:eastAsia="pl-PL"/>
        </w:rPr>
        <w:t xml:space="preserve">rzedmiot zamówienia: </w:t>
      </w:r>
    </w:p>
    <w:p>
      <w:pPr>
        <w:pStyle w:val="Domylnie"/>
        <w:numPr>
          <w:ilvl w:val="1"/>
          <w:numId w:val="2"/>
        </w:numPr>
        <w:tabs>
          <w:tab w:val="left" w:pos="708" w:leader="none"/>
          <w:tab w:val="left" w:pos="851" w:leader="none"/>
        </w:tabs>
        <w:suppressAutoHyphens w:val="false"/>
        <w:spacing w:lineRule="auto" w:line="276" w:before="120" w:after="120"/>
        <w:jc w:val="both"/>
        <w:rPr/>
      </w:pPr>
      <w:r>
        <w:rPr>
          <w:rStyle w:val="FontStyle28"/>
          <w:rFonts w:ascii="Cambria" w:hAnsi="Cambria"/>
          <w:sz w:val="22"/>
          <w:szCs w:val="22"/>
          <w:lang w:eastAsia="pl-PL"/>
        </w:rPr>
        <w:t xml:space="preserve"> </w:t>
      </w:r>
      <w:r>
        <w:rPr>
          <w:rStyle w:val="FontStyle28"/>
          <w:rFonts w:ascii="Cambria" w:hAnsi="Cambria"/>
          <w:sz w:val="22"/>
          <w:szCs w:val="22"/>
          <w:lang w:eastAsia="pl-PL"/>
        </w:rPr>
        <w:t xml:space="preserve">Przedmiotem zamówienia jest </w:t>
      </w:r>
      <w:r>
        <w:rPr>
          <w:rFonts w:cs="ArialMT" w:ascii="Cambria" w:hAnsi="Cambria"/>
          <w:sz w:val="22"/>
          <w:szCs w:val="22"/>
        </w:rPr>
        <w:t xml:space="preserve">wykonanie robót budowlanych dla zadania pod nazwą </w:t>
      </w:r>
      <w:r>
        <w:rPr>
          <w:rStyle w:val="FontStyle28"/>
          <w:rFonts w:cs="Times New Roman" w:ascii="Cambria" w:hAnsi="Cambria"/>
          <w:b/>
          <w:sz w:val="22"/>
          <w:szCs w:val="22"/>
        </w:rPr>
        <w:t>Budowa budynku służącego celom kulturalnym i społecznym w Rzeplinie</w:t>
      </w:r>
      <w:r>
        <w:rPr>
          <w:rFonts w:cs="ArialMT" w:ascii="Cambria" w:hAnsi="Cambria"/>
          <w:sz w:val="22"/>
          <w:szCs w:val="22"/>
        </w:rPr>
        <w:t>.</w:t>
      </w:r>
      <w:r>
        <w:rPr>
          <w:rStyle w:val="FontStyle28"/>
          <w:rFonts w:ascii="Cambria" w:hAnsi="Cambria"/>
          <w:sz w:val="22"/>
          <w:szCs w:val="22"/>
          <w:lang w:eastAsia="pl-PL"/>
        </w:rPr>
        <w:t xml:space="preserve"> </w:t>
      </w:r>
    </w:p>
    <w:p>
      <w:pPr>
        <w:pStyle w:val="Normal"/>
        <w:spacing w:lineRule="auto" w:line="276" w:before="63" w:after="63"/>
        <w:ind w:left="794"/>
        <w:jc w:val="both"/>
        <w:rPr/>
      </w:pPr>
      <w:r>
        <w:rPr>
          <w:rFonts w:eastAsia="Tahoma" w:cs="Arial" w:ascii="Cambria" w:hAnsi="Cambria"/>
          <w:color w:val="000000"/>
          <w:sz w:val="22"/>
          <w:szCs w:val="22"/>
        </w:rPr>
        <w:t xml:space="preserve">finansowany w ramach Priorytetu 7 Fundusze europejskie dla wspólnot lokalnych, Działanie 7.2 ZIT – Wsparcie oddolnych inicjatyw na obszarach miejskich, </w:t>
      </w:r>
    </w:p>
    <w:p>
      <w:pPr>
        <w:pStyle w:val="BodyText"/>
        <w:spacing w:lineRule="auto" w:line="276" w:before="63" w:after="63"/>
        <w:ind w:left="794"/>
        <w:rPr/>
      </w:pPr>
      <w:r>
        <w:rPr>
          <w:rFonts w:eastAsia="Tahoma" w:ascii="Cambria" w:hAnsi="Cambria"/>
          <w:color w:val="000000"/>
          <w:sz w:val="22"/>
          <w:szCs w:val="22"/>
        </w:rPr>
        <w:t xml:space="preserve">Typ projektu z SzOP: A. Infrastruktura kultury, z Europejskiego Funduszu Rozwoju Regionalnego. </w:t>
      </w:r>
    </w:p>
    <w:p>
      <w:pPr>
        <w:pStyle w:val="BodyText"/>
        <w:spacing w:lineRule="auto" w:line="276" w:before="63" w:after="63"/>
        <w:ind w:left="794"/>
        <w:rPr/>
      </w:pPr>
      <w:r>
        <w:rPr>
          <w:rStyle w:val="FontStyle28"/>
          <w:rFonts w:eastAsia="Tahoma" w:ascii="Cambria" w:hAnsi="Cambria"/>
          <w:color w:val="000000"/>
          <w:sz w:val="22"/>
          <w:szCs w:val="22"/>
        </w:rPr>
        <w:t>Program: Fundusze Europejskie dla Małopolski 2021-2027.</w:t>
      </w:r>
    </w:p>
    <w:p>
      <w:pPr>
        <w:pStyle w:val="BodyText"/>
        <w:spacing w:lineRule="auto" w:line="276" w:before="63" w:after="63"/>
        <w:ind w:left="794"/>
        <w:rPr>
          <w:rFonts w:ascii="Cambria" w:hAnsi="Cambria" w:eastAsia="Tahoma"/>
          <w:color w:val="000000"/>
          <w:sz w:val="22"/>
          <w:szCs w:val="22"/>
        </w:rPr>
      </w:pPr>
      <w:r>
        <w:rPr>
          <w:rFonts w:eastAsia="Tahoma" w:ascii="Cambria" w:hAnsi="Cambria"/>
          <w:color w:val="000000"/>
          <w:sz w:val="22"/>
          <w:szCs w:val="22"/>
        </w:rPr>
      </w:r>
    </w:p>
    <w:p>
      <w:pPr>
        <w:pStyle w:val="Normal"/>
        <w:spacing w:lineRule="auto" w:line="276"/>
        <w:ind w:left="794"/>
        <w:jc w:val="both"/>
        <w:rPr/>
      </w:pPr>
      <w:r>
        <w:rPr>
          <w:rFonts w:cs="Calibri" w:ascii="Cambria" w:hAnsi="Cambria" w:cstheme="minorHAnsi"/>
          <w:b/>
          <w:bCs/>
          <w:color w:val="000000"/>
          <w:sz w:val="22"/>
          <w:szCs w:val="22"/>
        </w:rPr>
        <w:t>Szczegółowe informacje dotyczące zamówienia:</w:t>
      </w:r>
    </w:p>
    <w:p>
      <w:pPr>
        <w:pStyle w:val="Domylnie"/>
        <w:tabs>
          <w:tab w:val="left" w:pos="708" w:leader="none"/>
          <w:tab w:val="left" w:pos="851" w:leader="none"/>
        </w:tabs>
        <w:suppressAutoHyphens w:val="false"/>
        <w:spacing w:lineRule="auto" w:line="276" w:before="120" w:after="120"/>
        <w:ind w:left="792"/>
        <w:jc w:val="both"/>
        <w:rPr/>
      </w:pPr>
      <w:r>
        <w:rPr>
          <w:rStyle w:val="FontStyle28"/>
          <w:rFonts w:eastAsia="Tahoma" w:cs="Calibri" w:ascii="Cambria" w:hAnsi="Cambria"/>
          <w:sz w:val="22"/>
          <w:szCs w:val="22"/>
          <w:lang w:eastAsia="pl-PL"/>
        </w:rPr>
        <w:t xml:space="preserve">Budynek świetlicy w Rzeplinie gm. Skała zaprojektowano w postaci systemowych modułowych kontenerów posadowionych na przygotowanych fundamentach i uzupełnionych o drewnianą konstrukcję ganku oraz dachu z kratownic drewnianych. </w:t>
      </w:r>
    </w:p>
    <w:p>
      <w:pPr>
        <w:pStyle w:val="Domylnie"/>
        <w:numPr>
          <w:ilvl w:val="0"/>
          <w:numId w:val="36"/>
        </w:numPr>
        <w:tabs>
          <w:tab w:val="left" w:pos="708" w:leader="none"/>
          <w:tab w:val="left" w:pos="851" w:leader="none"/>
        </w:tabs>
        <w:suppressAutoHyphens w:val="false"/>
        <w:spacing w:lineRule="auto" w:line="276" w:before="6" w:after="6"/>
        <w:ind w:hanging="340" w:left="1417"/>
        <w:jc w:val="both"/>
        <w:rPr/>
      </w:pPr>
      <w:r>
        <w:rPr>
          <w:rStyle w:val="FontStyle28"/>
          <w:rFonts w:eastAsia="Tahoma" w:cs="Calibri" w:ascii="Cambria" w:hAnsi="Cambria"/>
          <w:sz w:val="22"/>
          <w:szCs w:val="22"/>
          <w:lang w:eastAsia="pl-PL"/>
        </w:rPr>
        <w:t>Kubatura brutto budynku: 677,39 m</w:t>
      </w:r>
      <w:r>
        <w:rPr>
          <w:rStyle w:val="FontStyle28"/>
          <w:rFonts w:eastAsia="Tahoma" w:cs="Calibri" w:ascii="Cambria" w:hAnsi="Cambria"/>
          <w:sz w:val="22"/>
          <w:szCs w:val="22"/>
          <w:vertAlign w:val="superscript"/>
          <w:lang w:eastAsia="pl-PL"/>
        </w:rPr>
        <w:t>3</w:t>
      </w:r>
      <w:r>
        <w:rPr>
          <w:rStyle w:val="FontStyle28"/>
          <w:rFonts w:eastAsia="Tahoma" w:cs="Calibri" w:ascii="Cambria" w:hAnsi="Cambria"/>
          <w:sz w:val="22"/>
          <w:szCs w:val="22"/>
          <w:lang w:eastAsia="pl-PL"/>
        </w:rPr>
        <w:t xml:space="preserve"> </w:t>
      </w:r>
    </w:p>
    <w:p>
      <w:pPr>
        <w:pStyle w:val="Domylnie"/>
        <w:numPr>
          <w:ilvl w:val="0"/>
          <w:numId w:val="36"/>
        </w:numPr>
        <w:tabs>
          <w:tab w:val="left" w:pos="708" w:leader="none"/>
          <w:tab w:val="left" w:pos="851" w:leader="none"/>
        </w:tabs>
        <w:suppressAutoHyphens w:val="false"/>
        <w:spacing w:lineRule="auto" w:line="276" w:before="6" w:after="6"/>
        <w:ind w:hanging="340" w:left="1417"/>
        <w:jc w:val="both"/>
        <w:rPr/>
      </w:pPr>
      <w:r>
        <w:rPr>
          <w:rStyle w:val="FontStyle28"/>
          <w:rFonts w:eastAsia="Tahoma" w:cs="Calibri" w:ascii="Cambria" w:hAnsi="Cambria"/>
          <w:sz w:val="22"/>
          <w:szCs w:val="22"/>
          <w:lang w:eastAsia="pl-PL"/>
        </w:rPr>
        <w:t>Powierzchnia zabudowy budynku: 136,62 m</w:t>
      </w:r>
      <w:r>
        <w:rPr>
          <w:rStyle w:val="FontStyle28"/>
          <w:rFonts w:eastAsia="Tahoma" w:cs="Calibri" w:ascii="Cambria" w:hAnsi="Cambria"/>
          <w:sz w:val="22"/>
          <w:szCs w:val="22"/>
          <w:vertAlign w:val="superscript"/>
          <w:lang w:eastAsia="pl-PL"/>
        </w:rPr>
        <w:t>2</w:t>
      </w:r>
      <w:r>
        <w:rPr>
          <w:rStyle w:val="FontStyle28"/>
          <w:rFonts w:eastAsia="Tahoma" w:cs="Calibri" w:ascii="Cambria" w:hAnsi="Cambria"/>
          <w:sz w:val="22"/>
          <w:szCs w:val="22"/>
          <w:lang w:eastAsia="pl-PL"/>
        </w:rPr>
        <w:t xml:space="preserve"> </w:t>
      </w:r>
    </w:p>
    <w:p>
      <w:pPr>
        <w:pStyle w:val="Domylnie"/>
        <w:numPr>
          <w:ilvl w:val="0"/>
          <w:numId w:val="36"/>
        </w:numPr>
        <w:tabs>
          <w:tab w:val="left" w:pos="708" w:leader="none"/>
          <w:tab w:val="left" w:pos="851" w:leader="none"/>
        </w:tabs>
        <w:suppressAutoHyphens w:val="false"/>
        <w:spacing w:lineRule="auto" w:line="276" w:before="6" w:after="6"/>
        <w:ind w:hanging="340" w:left="1417"/>
        <w:jc w:val="both"/>
        <w:rPr/>
      </w:pPr>
      <w:r>
        <w:rPr>
          <w:rStyle w:val="FontStyle28"/>
          <w:rFonts w:eastAsia="Tahoma" w:cs="Calibri" w:ascii="Cambria" w:hAnsi="Cambria"/>
          <w:sz w:val="22"/>
          <w:szCs w:val="22"/>
          <w:lang w:eastAsia="pl-PL"/>
        </w:rPr>
        <w:t xml:space="preserve">Liczba kondygnacji 1 naziemna: parter, </w:t>
      </w:r>
    </w:p>
    <w:p>
      <w:pPr>
        <w:pStyle w:val="Domylnie"/>
        <w:numPr>
          <w:ilvl w:val="0"/>
          <w:numId w:val="36"/>
        </w:numPr>
        <w:tabs>
          <w:tab w:val="left" w:pos="708" w:leader="none"/>
          <w:tab w:val="left" w:pos="851" w:leader="none"/>
        </w:tabs>
        <w:suppressAutoHyphens w:val="false"/>
        <w:spacing w:lineRule="auto" w:line="276" w:before="6" w:after="6"/>
        <w:ind w:hanging="340" w:left="1417"/>
        <w:jc w:val="both"/>
        <w:rPr/>
      </w:pPr>
      <w:r>
        <w:rPr>
          <w:rStyle w:val="FontStyle28"/>
          <w:rFonts w:eastAsia="Tahoma" w:cs="Calibri" w:ascii="Cambria" w:hAnsi="Cambria"/>
          <w:sz w:val="22"/>
          <w:szCs w:val="22"/>
          <w:lang w:eastAsia="pl-PL"/>
        </w:rPr>
        <w:t xml:space="preserve">Gabaryty budynku: 15,54 m x 8,84 m, wysokość 6,60 m </w:t>
      </w:r>
    </w:p>
    <w:p>
      <w:pPr>
        <w:pStyle w:val="Domylnie"/>
        <w:numPr>
          <w:ilvl w:val="0"/>
          <w:numId w:val="36"/>
        </w:numPr>
        <w:tabs>
          <w:tab w:val="left" w:pos="708" w:leader="none"/>
          <w:tab w:val="left" w:pos="851" w:leader="none"/>
        </w:tabs>
        <w:suppressAutoHyphens w:val="false"/>
        <w:spacing w:lineRule="auto" w:line="276" w:before="6" w:after="6"/>
        <w:ind w:hanging="340" w:left="1417"/>
        <w:jc w:val="both"/>
        <w:rPr/>
      </w:pPr>
      <w:r>
        <w:rPr>
          <w:rStyle w:val="FontStyle28"/>
          <w:rFonts w:eastAsia="Tahoma" w:cs="Calibri" w:ascii="Cambria" w:hAnsi="Cambria"/>
          <w:sz w:val="22"/>
          <w:szCs w:val="22"/>
          <w:lang w:eastAsia="pl-PL"/>
        </w:rPr>
        <w:t>Powierzchnia netto budynku 80,12 m</w:t>
      </w:r>
      <w:r>
        <w:rPr>
          <w:rStyle w:val="FontStyle28"/>
          <w:rFonts w:eastAsia="Tahoma" w:cs="Calibri" w:ascii="Cambria" w:hAnsi="Cambria"/>
          <w:sz w:val="22"/>
          <w:szCs w:val="22"/>
          <w:vertAlign w:val="superscript"/>
          <w:lang w:eastAsia="pl-PL"/>
        </w:rPr>
        <w:t>2</w:t>
      </w:r>
      <w:r>
        <w:rPr>
          <w:rStyle w:val="FontStyle28"/>
          <w:rFonts w:eastAsia="Tahoma" w:cs="Calibri" w:ascii="Cambria" w:hAnsi="Cambria"/>
          <w:sz w:val="22"/>
          <w:szCs w:val="22"/>
          <w:lang w:eastAsia="pl-PL"/>
        </w:rPr>
        <w:t xml:space="preserve"> (pow. użytkowa 67,33 m</w:t>
      </w:r>
      <w:r>
        <w:rPr>
          <w:rStyle w:val="FontStyle28"/>
          <w:rFonts w:eastAsia="Tahoma" w:cs="Calibri" w:ascii="Cambria" w:hAnsi="Cambria"/>
          <w:sz w:val="22"/>
          <w:szCs w:val="22"/>
          <w:vertAlign w:val="superscript"/>
          <w:lang w:eastAsia="pl-PL"/>
        </w:rPr>
        <w:t>2</w:t>
      </w:r>
      <w:r>
        <w:rPr>
          <w:rStyle w:val="FontStyle28"/>
          <w:rFonts w:eastAsia="Tahoma" w:cs="Calibri" w:ascii="Cambria" w:hAnsi="Cambria"/>
          <w:sz w:val="22"/>
          <w:szCs w:val="22"/>
          <w:lang w:eastAsia="pl-PL"/>
        </w:rPr>
        <w:t>; powierzchnia usługowa 5,64 m</w:t>
      </w:r>
      <w:r>
        <w:rPr>
          <w:rStyle w:val="FontStyle28"/>
          <w:rFonts w:eastAsia="Tahoma" w:cs="Calibri" w:ascii="Cambria" w:hAnsi="Cambria"/>
          <w:sz w:val="22"/>
          <w:szCs w:val="22"/>
          <w:vertAlign w:val="superscript"/>
          <w:lang w:eastAsia="pl-PL"/>
        </w:rPr>
        <w:t>2</w:t>
      </w:r>
      <w:r>
        <w:rPr>
          <w:rStyle w:val="FontStyle28"/>
          <w:rFonts w:eastAsia="Tahoma" w:cs="Calibri" w:ascii="Cambria" w:hAnsi="Cambria"/>
          <w:sz w:val="22"/>
          <w:szCs w:val="22"/>
          <w:lang w:eastAsia="pl-PL"/>
        </w:rPr>
        <w:t>, powierzchnia ruchu 7,20 m</w:t>
      </w:r>
      <w:r>
        <w:rPr>
          <w:rStyle w:val="FontStyle28"/>
          <w:rFonts w:eastAsia="Tahoma" w:cs="Calibri" w:ascii="Cambria" w:hAnsi="Cambria"/>
          <w:sz w:val="22"/>
          <w:szCs w:val="22"/>
          <w:vertAlign w:val="superscript"/>
          <w:lang w:eastAsia="pl-PL"/>
        </w:rPr>
        <w:t>2</w:t>
      </w:r>
      <w:r>
        <w:rPr>
          <w:rStyle w:val="FontStyle28"/>
          <w:rFonts w:eastAsia="Tahoma" w:cs="Calibri" w:ascii="Cambria" w:hAnsi="Cambria"/>
          <w:sz w:val="22"/>
          <w:szCs w:val="22"/>
          <w:lang w:eastAsia="pl-PL"/>
        </w:rPr>
        <w:t xml:space="preserve">). </w:t>
      </w:r>
    </w:p>
    <w:p>
      <w:pPr>
        <w:pStyle w:val="Domylnie"/>
        <w:tabs>
          <w:tab w:val="left" w:pos="708" w:leader="none"/>
          <w:tab w:val="left" w:pos="851" w:leader="none"/>
        </w:tabs>
        <w:suppressAutoHyphens w:val="false"/>
        <w:spacing w:lineRule="auto" w:line="276" w:before="120" w:after="120"/>
        <w:ind w:left="792"/>
        <w:jc w:val="both"/>
        <w:rPr/>
      </w:pPr>
      <w:r>
        <w:rPr>
          <w:rStyle w:val="FontStyle28"/>
          <w:rFonts w:eastAsia="Tahoma" w:cs="Calibri" w:ascii="Cambria" w:hAnsi="Cambria"/>
          <w:sz w:val="22"/>
          <w:szCs w:val="22"/>
          <w:lang w:eastAsia="pl-PL"/>
        </w:rPr>
        <w:t xml:space="preserve">Fundamenty zaprojektowano w postaci żelbetowych ław i stóp fundamentowych o grubości 30cm, wykonanych z betonu C20/25 o wymiarach zgodnych z rysunkami zestawczymi. </w:t>
      </w:r>
    </w:p>
    <w:p>
      <w:pPr>
        <w:pStyle w:val="Domylnie"/>
        <w:tabs>
          <w:tab w:val="left" w:pos="708" w:leader="none"/>
          <w:tab w:val="left" w:pos="851" w:leader="none"/>
        </w:tabs>
        <w:suppressAutoHyphens w:val="false"/>
        <w:spacing w:lineRule="auto" w:line="276" w:before="120" w:after="120"/>
        <w:ind w:left="792"/>
        <w:jc w:val="both"/>
        <w:rPr/>
      </w:pPr>
      <w:r>
        <w:rPr>
          <w:rStyle w:val="FontStyle28"/>
          <w:rFonts w:eastAsia="Tahoma" w:cs="Calibri" w:ascii="Cambria" w:hAnsi="Cambria"/>
          <w:sz w:val="22"/>
          <w:szCs w:val="22"/>
          <w:lang w:eastAsia="pl-PL"/>
        </w:rPr>
        <w:t xml:space="preserve">Ściany kondygnacji podziemnej murowane z zalewowych pustaków szalunkowych o grubości muru 20cm lub betonowe. Zbrojenie ścian fundamentowych poziome w ostatniej warstwie spoiny oraz pionowe w każdej komorze. Bloczki szalunkowe zalewane betonem C20/25. Izolacje przeciw wodne elementów podziemnych budynku należy wykonać zgodnie z projektem branży architektonicznej. </w:t>
      </w:r>
    </w:p>
    <w:p>
      <w:pPr>
        <w:pStyle w:val="Domylnie"/>
        <w:tabs>
          <w:tab w:val="left" w:pos="708" w:leader="none"/>
          <w:tab w:val="left" w:pos="851" w:leader="none"/>
        </w:tabs>
        <w:suppressAutoHyphens w:val="false"/>
        <w:spacing w:lineRule="auto" w:line="276" w:before="120" w:after="120"/>
        <w:ind w:left="792"/>
        <w:jc w:val="both"/>
        <w:rPr/>
      </w:pPr>
      <w:r>
        <w:rPr>
          <w:rStyle w:val="FontStyle28"/>
          <w:rFonts w:eastAsia="Tahoma" w:cs="Calibri" w:ascii="Cambria" w:hAnsi="Cambria"/>
          <w:sz w:val="22"/>
          <w:szCs w:val="22"/>
          <w:lang w:eastAsia="pl-PL"/>
        </w:rPr>
        <w:t xml:space="preserve">Część nadziemna budynku zostanie wykonana z systemowych modułowych kontenerów ustawionych na przygotowanych fundamentach. Zadaszenie budynku w postaci drewnianych kratownic dachowych. Drewniane elementy dachu wykonane z drewna C24. Murłaty wykonane z RK 140x140x5 oparte markach stalowych mocowanych do konstrukcji kontenerów. </w:t>
      </w:r>
    </w:p>
    <w:p>
      <w:pPr>
        <w:pStyle w:val="Domylnie"/>
        <w:tabs>
          <w:tab w:val="left" w:pos="708" w:leader="none"/>
          <w:tab w:val="left" w:pos="851" w:leader="none"/>
        </w:tabs>
        <w:suppressAutoHyphens w:val="false"/>
        <w:spacing w:lineRule="auto" w:line="276" w:before="120" w:after="120"/>
        <w:ind w:left="792"/>
        <w:jc w:val="both"/>
        <w:rPr/>
      </w:pPr>
      <w:r>
        <w:rPr>
          <w:rStyle w:val="FontStyle28"/>
          <w:rFonts w:eastAsia="Tahoma" w:cs="Calibri" w:ascii="Cambria" w:hAnsi="Cambria"/>
          <w:sz w:val="22"/>
          <w:szCs w:val="22"/>
          <w:lang w:eastAsia="pl-PL"/>
        </w:rPr>
        <w:t>Do budynku świetlicy będzie prowadzić droga dojazdowa z kostki betonowej UNIECO 80 mm. Przed budynkiem usytuowano plac z miejscami postojowymi z kostki UNIECO 80 mm oraz chodnik z kostki betonowej o grub. 60 mm. Droga dojazdowa, plac z parkingami będzie obstawiony krawężnikami betonowymi na ławach betonowych a chodnik obrzeżem betonowym.</w:t>
      </w:r>
    </w:p>
    <w:p>
      <w:pPr>
        <w:pStyle w:val="Domylnie"/>
        <w:numPr>
          <w:ilvl w:val="1"/>
          <w:numId w:val="2"/>
        </w:numPr>
        <w:tabs>
          <w:tab w:val="left" w:pos="708" w:leader="none"/>
          <w:tab w:val="left" w:pos="851" w:leader="none"/>
        </w:tabs>
        <w:suppressAutoHyphens w:val="false"/>
        <w:spacing w:lineRule="auto" w:line="276" w:before="120" w:after="120"/>
        <w:jc w:val="both"/>
        <w:rPr/>
      </w:pPr>
      <w:r>
        <w:rPr>
          <w:rStyle w:val="FontStyle28"/>
          <w:rFonts w:ascii="Cambria" w:hAnsi="Cambria"/>
          <w:color w:val="auto"/>
          <w:sz w:val="22"/>
          <w:szCs w:val="22"/>
          <w:lang w:eastAsia="pl-PL"/>
        </w:rPr>
        <w:t xml:space="preserve">Zamawiający nie dopuszcza możliwości składania ofert częściowych. </w:t>
      </w:r>
    </w:p>
    <w:p>
      <w:pPr>
        <w:pStyle w:val="Domylnie"/>
        <w:tabs>
          <w:tab w:val="left" w:pos="708" w:leader="none"/>
          <w:tab w:val="left" w:pos="851" w:leader="none"/>
        </w:tabs>
        <w:suppressAutoHyphens w:val="false"/>
        <w:spacing w:lineRule="auto" w:line="276" w:before="0" w:after="0"/>
        <w:ind w:left="792"/>
        <w:jc w:val="both"/>
        <w:rPr/>
      </w:pPr>
      <w:r>
        <w:rPr>
          <w:rStyle w:val="FontStyle28"/>
          <w:rFonts w:ascii="Cambria" w:hAnsi="Cambria"/>
          <w:color w:val="auto"/>
          <w:sz w:val="22"/>
          <w:szCs w:val="22"/>
          <w:lang w:eastAsia="pl-PL"/>
        </w:rPr>
        <w:t>Uzasadnienie braku podziału zamówienia na części:</w:t>
      </w:r>
    </w:p>
    <w:p>
      <w:pPr>
        <w:pStyle w:val="Domylnie"/>
        <w:tabs>
          <w:tab w:val="left" w:pos="708" w:leader="none"/>
          <w:tab w:val="left" w:pos="851" w:leader="none"/>
        </w:tabs>
        <w:suppressAutoHyphens w:val="false"/>
        <w:spacing w:lineRule="auto" w:line="276" w:before="120" w:after="120"/>
        <w:ind w:left="792"/>
        <w:jc w:val="both"/>
        <w:rPr/>
      </w:pPr>
      <w:r>
        <w:rPr>
          <w:rStyle w:val="FontStyle28"/>
          <w:rFonts w:ascii="Cambria" w:hAnsi="Cambria"/>
          <w:color w:val="auto"/>
          <w:sz w:val="22"/>
          <w:szCs w:val="22"/>
          <w:lang w:eastAsia="pl-PL"/>
        </w:rPr>
        <w:t>Podział zamówienia jest niezasadny. Obiekt budowlany będący przedmiotem zamówienia stanowi techniczną użytkową całość i jego podział byłby dla zamawiającego niekorzystny. Ponadto, skala zamówienia jest niewielka i w związku z treścią warunków udziału w postępowania oraz kryteriów oceny ofert należy przyjąć, że zamówienie jest w stanie wykonywać przeciętnie przygotowany i doświadczony mały lub średni przedsiębiorca z branży budowlanej specjalizujący się w robotach budowlanych w branży ogólnobudowlanej, działający na rynku właściwym. W związku z tym brak podziału zamówienia na części pozostaje bez wpływu na konkurencyjność postępowania.</w:t>
      </w:r>
      <w:r>
        <w:br w:type="page"/>
      </w:r>
    </w:p>
    <w:p>
      <w:pPr>
        <w:pStyle w:val="Domylnie"/>
        <w:tabs>
          <w:tab w:val="left" w:pos="708" w:leader="none"/>
          <w:tab w:val="left" w:pos="851" w:leader="none"/>
        </w:tabs>
        <w:suppressAutoHyphens w:val="false"/>
        <w:spacing w:lineRule="auto" w:line="276" w:before="0" w:after="120"/>
        <w:ind w:left="792"/>
        <w:jc w:val="both"/>
        <w:rPr>
          <w:rStyle w:val="FontStyle28"/>
          <w:rFonts w:ascii="Cambria" w:hAnsi="Cambria"/>
          <w:color w:val="auto"/>
          <w:sz w:val="22"/>
          <w:szCs w:val="22"/>
          <w:lang w:eastAsia="pl-PL"/>
        </w:rPr>
      </w:pPr>
      <w:r>
        <w:rPr>
          <w:rFonts w:ascii="Cambria" w:hAnsi="Cambria"/>
          <w:color w:val="auto"/>
          <w:sz w:val="22"/>
          <w:szCs w:val="22"/>
          <w:lang w:eastAsia="pl-PL"/>
        </w:rPr>
      </w:r>
    </w:p>
    <w:p>
      <w:pPr>
        <w:pStyle w:val="Domylnie"/>
        <w:numPr>
          <w:ilvl w:val="1"/>
          <w:numId w:val="2"/>
        </w:numPr>
        <w:tabs>
          <w:tab w:val="left" w:pos="708" w:leader="none"/>
          <w:tab w:val="left" w:pos="851" w:leader="none"/>
        </w:tabs>
        <w:suppressAutoHyphens w:val="false"/>
        <w:spacing w:lineRule="auto" w:line="276" w:before="120" w:after="120"/>
        <w:jc w:val="both"/>
        <w:rPr/>
      </w:pPr>
      <w:r>
        <w:rPr>
          <w:rStyle w:val="FontStyle28"/>
          <w:rFonts w:ascii="Cambria" w:hAnsi="Cambria"/>
          <w:color w:val="auto"/>
          <w:sz w:val="22"/>
          <w:szCs w:val="22"/>
        </w:rPr>
        <w:t>Do obowiązków wykonawcy będzie należało m.in.:</w:t>
      </w:r>
    </w:p>
    <w:p>
      <w:pPr>
        <w:pStyle w:val="Domylnie"/>
        <w:numPr>
          <w:ilvl w:val="2"/>
          <w:numId w:val="2"/>
        </w:numPr>
        <w:tabs>
          <w:tab w:val="left" w:pos="708" w:leader="none"/>
          <w:tab w:val="left" w:pos="851" w:leader="none"/>
        </w:tabs>
        <w:suppressAutoHyphens w:val="false"/>
        <w:spacing w:lineRule="auto" w:line="276" w:before="120" w:after="120"/>
        <w:jc w:val="both"/>
        <w:rPr/>
      </w:pPr>
      <w:r>
        <w:rPr>
          <w:rStyle w:val="FontStyle28"/>
          <w:rFonts w:ascii="Cambria" w:hAnsi="Cambria"/>
          <w:color w:themeColor="text1" w:val="000000"/>
          <w:sz w:val="22"/>
          <w:szCs w:val="22"/>
        </w:rPr>
        <w:t xml:space="preserve"> </w:t>
      </w:r>
      <w:r>
        <w:rPr>
          <w:rStyle w:val="FontStyle28"/>
          <w:rFonts w:ascii="Cambria" w:hAnsi="Cambria"/>
          <w:color w:themeColor="text1" w:val="000000"/>
          <w:sz w:val="22"/>
          <w:szCs w:val="22"/>
        </w:rPr>
        <w:t>wykonać przedmiot umowy, zgodnie z dokumentacją, obowiązującymi przepisami prawa w terminach określonych umową,</w:t>
      </w:r>
    </w:p>
    <w:p>
      <w:pPr>
        <w:pStyle w:val="Domylnie"/>
        <w:numPr>
          <w:ilvl w:val="2"/>
          <w:numId w:val="2"/>
        </w:numPr>
        <w:tabs>
          <w:tab w:val="left" w:pos="708" w:leader="none"/>
          <w:tab w:val="left" w:pos="851" w:leader="none"/>
        </w:tabs>
        <w:suppressAutoHyphens w:val="false"/>
        <w:spacing w:lineRule="auto" w:line="276" w:before="120" w:after="120"/>
        <w:jc w:val="both"/>
        <w:rPr/>
      </w:pPr>
      <w:r>
        <w:rPr>
          <w:rStyle w:val="FontStyle28"/>
          <w:rFonts w:ascii="Cambria" w:hAnsi="Cambria"/>
          <w:color w:themeColor="text1" w:val="000000"/>
          <w:sz w:val="22"/>
          <w:szCs w:val="22"/>
        </w:rPr>
        <w:t xml:space="preserve"> </w:t>
      </w:r>
      <w:r>
        <w:rPr>
          <w:rStyle w:val="FontStyle28"/>
          <w:rFonts w:ascii="Cambria" w:hAnsi="Cambria"/>
          <w:color w:themeColor="text1" w:val="000000"/>
          <w:sz w:val="22"/>
          <w:szCs w:val="22"/>
        </w:rPr>
        <w:t>przejąć teren budowy, umieścić w widocznym miejscu tablicę budowlaną ze wszystkimi danymi oraz pisemnie powiadomić właściwe organy, a także użytkowników terenów przylegających do terenu budowy o rozpoczęciu budowy,</w:t>
      </w:r>
    </w:p>
    <w:p>
      <w:pPr>
        <w:pStyle w:val="Domylnie"/>
        <w:numPr>
          <w:ilvl w:val="2"/>
          <w:numId w:val="2"/>
        </w:numPr>
        <w:tabs>
          <w:tab w:val="left" w:pos="708" w:leader="none"/>
          <w:tab w:val="left" w:pos="851" w:leader="none"/>
        </w:tabs>
        <w:suppressAutoHyphens w:val="false"/>
        <w:spacing w:lineRule="auto" w:line="276" w:before="120" w:after="120"/>
        <w:jc w:val="both"/>
        <w:rPr/>
      </w:pPr>
      <w:r>
        <w:rPr>
          <w:rStyle w:val="FontStyle28"/>
          <w:rFonts w:ascii="Cambria" w:hAnsi="Cambria"/>
          <w:color w:themeColor="text1" w:val="000000"/>
          <w:sz w:val="22"/>
          <w:szCs w:val="22"/>
        </w:rPr>
        <w:t xml:space="preserve"> </w:t>
      </w:r>
      <w:r>
        <w:rPr>
          <w:rStyle w:val="FontStyle28"/>
          <w:rFonts w:ascii="Cambria" w:hAnsi="Cambria"/>
          <w:color w:themeColor="text1" w:val="000000"/>
          <w:sz w:val="22"/>
          <w:szCs w:val="22"/>
        </w:rPr>
        <w:t>zapewnić wykonania przedmiotu umowy przez osoby posiadające odpowiednie kwalifikacje,</w:t>
      </w:r>
    </w:p>
    <w:p>
      <w:pPr>
        <w:pStyle w:val="Domylnie"/>
        <w:numPr>
          <w:ilvl w:val="2"/>
          <w:numId w:val="2"/>
        </w:numPr>
        <w:tabs>
          <w:tab w:val="left" w:pos="708" w:leader="none"/>
          <w:tab w:val="left" w:pos="851" w:leader="none"/>
        </w:tabs>
        <w:suppressAutoHyphens w:val="false"/>
        <w:spacing w:lineRule="auto" w:line="276" w:before="120" w:after="120"/>
        <w:jc w:val="both"/>
        <w:rPr/>
      </w:pPr>
      <w:r>
        <w:rPr>
          <w:rStyle w:val="FontStyle28"/>
          <w:rFonts w:ascii="Cambria" w:hAnsi="Cambria"/>
          <w:color w:themeColor="text1" w:val="000000"/>
          <w:sz w:val="22"/>
          <w:szCs w:val="22"/>
        </w:rPr>
        <w:t xml:space="preserve"> </w:t>
      </w:r>
      <w:r>
        <w:rPr>
          <w:rStyle w:val="FontStyle28"/>
          <w:rFonts w:ascii="Cambria" w:hAnsi="Cambria"/>
          <w:color w:themeColor="text1" w:val="000000"/>
          <w:sz w:val="22"/>
          <w:szCs w:val="22"/>
        </w:rPr>
        <w:t>wykonać wszelkie niezbędne roboty przygotowawcze i rozbiórki uwalniające teren budowy od naniesień budowlanych sieci podziemnych, a także przekładki mediów w zależności od potrzeb,</w:t>
      </w:r>
    </w:p>
    <w:p>
      <w:pPr>
        <w:pStyle w:val="Domylnie"/>
        <w:numPr>
          <w:ilvl w:val="2"/>
          <w:numId w:val="2"/>
        </w:numPr>
        <w:tabs>
          <w:tab w:val="left" w:pos="708" w:leader="none"/>
          <w:tab w:val="left" w:pos="851" w:leader="none"/>
        </w:tabs>
        <w:suppressAutoHyphens w:val="false"/>
        <w:spacing w:lineRule="auto" w:line="276" w:before="120" w:after="120"/>
        <w:jc w:val="both"/>
        <w:rPr/>
      </w:pPr>
      <w:r>
        <w:rPr>
          <w:rStyle w:val="FontStyle28"/>
          <w:rFonts w:ascii="Cambria" w:hAnsi="Cambria"/>
          <w:color w:themeColor="text1" w:val="000000"/>
          <w:sz w:val="22"/>
          <w:szCs w:val="22"/>
        </w:rPr>
        <w:t xml:space="preserve"> </w:t>
      </w:r>
      <w:r>
        <w:rPr>
          <w:rStyle w:val="FontStyle28"/>
          <w:rFonts w:ascii="Cambria" w:hAnsi="Cambria"/>
          <w:color w:themeColor="text1" w:val="000000"/>
          <w:sz w:val="22"/>
          <w:szCs w:val="22"/>
        </w:rPr>
        <w:t>zabezpieczyć we własnym zakresie, dla swoich pracowników warunki socjalne, zaplecza niezbędnego do realizacji robót oraz inne warunki przewidziane przepisami prawa,</w:t>
      </w:r>
    </w:p>
    <w:p>
      <w:pPr>
        <w:pStyle w:val="Domylnie"/>
        <w:numPr>
          <w:ilvl w:val="2"/>
          <w:numId w:val="2"/>
        </w:numPr>
        <w:tabs>
          <w:tab w:val="left" w:pos="708" w:leader="none"/>
          <w:tab w:val="left" w:pos="851" w:leader="none"/>
        </w:tabs>
        <w:suppressAutoHyphens w:val="false"/>
        <w:spacing w:lineRule="auto" w:line="276" w:before="120" w:after="120"/>
        <w:jc w:val="both"/>
        <w:rPr/>
      </w:pPr>
      <w:r>
        <w:rPr>
          <w:rStyle w:val="FontStyle28"/>
          <w:rFonts w:ascii="Cambria" w:hAnsi="Cambria"/>
          <w:color w:themeColor="text1" w:val="000000"/>
          <w:sz w:val="22"/>
          <w:szCs w:val="22"/>
        </w:rPr>
        <w:t xml:space="preserve"> </w:t>
      </w:r>
      <w:r>
        <w:rPr>
          <w:rStyle w:val="FontStyle28"/>
          <w:rFonts w:ascii="Cambria" w:hAnsi="Cambria"/>
          <w:color w:themeColor="text1" w:val="000000"/>
          <w:sz w:val="22"/>
          <w:szCs w:val="22"/>
        </w:rPr>
        <w:t>ponieść wszelkie koszty związane z zużyciem energii, wody oraz innych mediów, na podstawie wskazań urządzeń i aparatur koniecznych do korzystania z usług i do pomiaru pobranych ilości,</w:t>
      </w:r>
    </w:p>
    <w:p>
      <w:pPr>
        <w:pStyle w:val="Domylnie"/>
        <w:numPr>
          <w:ilvl w:val="2"/>
          <w:numId w:val="2"/>
        </w:numPr>
        <w:tabs>
          <w:tab w:val="left" w:pos="708" w:leader="none"/>
          <w:tab w:val="left" w:pos="851" w:leader="none"/>
        </w:tabs>
        <w:suppressAutoHyphens w:val="false"/>
        <w:spacing w:lineRule="auto" w:line="276" w:before="120" w:after="120"/>
        <w:jc w:val="both"/>
        <w:rPr/>
      </w:pPr>
      <w:r>
        <w:rPr>
          <w:rStyle w:val="FontStyle28"/>
          <w:rFonts w:ascii="Cambria" w:hAnsi="Cambria"/>
          <w:color w:themeColor="text1" w:val="000000"/>
          <w:sz w:val="22"/>
          <w:szCs w:val="22"/>
        </w:rPr>
        <w:t xml:space="preserve"> </w:t>
      </w:r>
      <w:r>
        <w:rPr>
          <w:rStyle w:val="FontStyle28"/>
          <w:rFonts w:ascii="Cambria" w:hAnsi="Cambria"/>
          <w:color w:themeColor="text1" w:val="000000"/>
          <w:sz w:val="22"/>
          <w:szCs w:val="22"/>
        </w:rPr>
        <w:t>uzgodnić, powiadomić i uzyskać zgodę na czasowe wyłączenia i przełożenia elementów sieci mediów i przyłączy w związku z prowadzonymi pracami budowlanymi – jeżeli wystąpi taka konieczność w czasie prac,</w:t>
      </w:r>
    </w:p>
    <w:p>
      <w:pPr>
        <w:pStyle w:val="Domylnie"/>
        <w:numPr>
          <w:ilvl w:val="2"/>
          <w:numId w:val="2"/>
        </w:numPr>
        <w:tabs>
          <w:tab w:val="left" w:pos="708" w:leader="none"/>
          <w:tab w:val="left" w:pos="851" w:leader="none"/>
        </w:tabs>
        <w:suppressAutoHyphens w:val="false"/>
        <w:spacing w:lineRule="auto" w:line="276" w:before="120" w:after="120"/>
        <w:jc w:val="both"/>
        <w:rPr/>
      </w:pPr>
      <w:r>
        <w:rPr>
          <w:rStyle w:val="FontStyle28"/>
          <w:rFonts w:ascii="Cambria" w:hAnsi="Cambria"/>
          <w:color w:themeColor="text1" w:val="000000"/>
          <w:sz w:val="22"/>
          <w:szCs w:val="22"/>
        </w:rPr>
        <w:t xml:space="preserve"> </w:t>
      </w:r>
      <w:r>
        <w:rPr>
          <w:rStyle w:val="FontStyle28"/>
          <w:rFonts w:ascii="Cambria" w:hAnsi="Cambria"/>
          <w:color w:themeColor="text1" w:val="000000"/>
          <w:sz w:val="22"/>
          <w:szCs w:val="22"/>
        </w:rPr>
        <w:t>zawiadomić Zamawiającego i Inspektora Nadzoru Inwestorskiego o terminie wykonania i odbiorze robót zanikających lub ulegających zakryciu,</w:t>
      </w:r>
    </w:p>
    <w:p>
      <w:pPr>
        <w:pStyle w:val="Domylnie"/>
        <w:numPr>
          <w:ilvl w:val="2"/>
          <w:numId w:val="2"/>
        </w:numPr>
        <w:tabs>
          <w:tab w:val="left" w:pos="708" w:leader="none"/>
          <w:tab w:val="left" w:pos="851" w:leader="none"/>
        </w:tabs>
        <w:suppressAutoHyphens w:val="false"/>
        <w:spacing w:lineRule="auto" w:line="276" w:before="120" w:after="120"/>
        <w:jc w:val="both"/>
        <w:rPr/>
      </w:pPr>
      <w:r>
        <w:rPr>
          <w:rStyle w:val="FontStyle28"/>
          <w:rFonts w:ascii="Cambria" w:hAnsi="Cambria"/>
          <w:color w:themeColor="text1" w:val="000000"/>
          <w:sz w:val="22"/>
          <w:szCs w:val="22"/>
        </w:rPr>
        <w:t xml:space="preserve"> </w:t>
      </w:r>
      <w:r>
        <w:rPr>
          <w:rStyle w:val="FontStyle28"/>
          <w:rFonts w:ascii="Cambria" w:hAnsi="Cambria"/>
          <w:color w:themeColor="text1" w:val="000000"/>
          <w:sz w:val="22"/>
          <w:szCs w:val="22"/>
        </w:rPr>
        <w:t>zgłaszać każdorazowo pisemnie konieczność wykonania ewentualnych robót podobnych, dodatkowych lub zamiennych,</w:t>
      </w:r>
    </w:p>
    <w:p>
      <w:pPr>
        <w:pStyle w:val="Domylnie"/>
        <w:numPr>
          <w:ilvl w:val="2"/>
          <w:numId w:val="2"/>
        </w:numPr>
        <w:tabs>
          <w:tab w:val="left" w:pos="708" w:leader="none"/>
          <w:tab w:val="left" w:pos="851" w:leader="none"/>
        </w:tabs>
        <w:suppressAutoHyphens w:val="false"/>
        <w:spacing w:lineRule="auto" w:line="276" w:before="120" w:after="120"/>
        <w:jc w:val="both"/>
        <w:rPr/>
      </w:pPr>
      <w:r>
        <w:rPr>
          <w:rStyle w:val="FontStyle28"/>
          <w:rFonts w:ascii="Cambria" w:hAnsi="Cambria"/>
          <w:color w:themeColor="text1" w:val="000000"/>
          <w:sz w:val="22"/>
          <w:szCs w:val="22"/>
        </w:rPr>
        <w:t>zawiadomić Zamawiającego o ewentualnych wadach dokumentacji projektowej,</w:t>
      </w:r>
    </w:p>
    <w:p>
      <w:pPr>
        <w:pStyle w:val="Domylnie"/>
        <w:numPr>
          <w:ilvl w:val="2"/>
          <w:numId w:val="2"/>
        </w:numPr>
        <w:tabs>
          <w:tab w:val="left" w:pos="708" w:leader="none"/>
          <w:tab w:val="left" w:pos="851" w:leader="none"/>
        </w:tabs>
        <w:suppressAutoHyphens w:val="false"/>
        <w:spacing w:lineRule="auto" w:line="276" w:before="120" w:after="120"/>
        <w:jc w:val="both"/>
        <w:rPr/>
      </w:pPr>
      <w:r>
        <w:rPr>
          <w:rStyle w:val="FontStyle28"/>
          <w:rFonts w:ascii="Cambria" w:hAnsi="Cambria"/>
          <w:color w:themeColor="text1" w:val="000000"/>
          <w:sz w:val="22"/>
          <w:szCs w:val="22"/>
        </w:rPr>
        <w:t>zapewnić nadzór i kierownictwo prac budowlanych we właściwych specjalnościach,</w:t>
      </w:r>
    </w:p>
    <w:p>
      <w:pPr>
        <w:pStyle w:val="Domylnie"/>
        <w:numPr>
          <w:ilvl w:val="2"/>
          <w:numId w:val="2"/>
        </w:numPr>
        <w:tabs>
          <w:tab w:val="left" w:pos="708" w:leader="none"/>
          <w:tab w:val="left" w:pos="851" w:leader="none"/>
        </w:tabs>
        <w:suppressAutoHyphens w:val="false"/>
        <w:spacing w:lineRule="auto" w:line="276" w:before="120" w:after="120"/>
        <w:jc w:val="both"/>
        <w:rPr/>
      </w:pPr>
      <w:r>
        <w:rPr>
          <w:rStyle w:val="FontStyle28"/>
          <w:rFonts w:ascii="Cambria" w:hAnsi="Cambria"/>
          <w:color w:themeColor="text1" w:val="000000"/>
          <w:sz w:val="22"/>
          <w:szCs w:val="22"/>
        </w:rPr>
        <w:t>zakupić i dostarczyć materiały do wykonania przedmiotu umowy. Wszystkie materiały i robocizna muszą być zgodne z wymaganiami projektu i winny posiadać odpowiednie świadectwa dopuszczenia do stosowania w budownictwie, certyfikaty bezpieczeństwa, deklaracje zgodności i aprobaty techniczne. W/w dokumenty Wykonawca przedstawi Inwestorowi do odbioru końcowego,</w:t>
      </w:r>
    </w:p>
    <w:p>
      <w:pPr>
        <w:pStyle w:val="Domylnie"/>
        <w:numPr>
          <w:ilvl w:val="2"/>
          <w:numId w:val="2"/>
        </w:numPr>
        <w:tabs>
          <w:tab w:val="left" w:pos="708" w:leader="none"/>
          <w:tab w:val="left" w:pos="851" w:leader="none"/>
        </w:tabs>
        <w:suppressAutoHyphens w:val="false"/>
        <w:spacing w:lineRule="auto" w:line="276" w:before="120" w:after="120"/>
        <w:jc w:val="both"/>
        <w:rPr/>
      </w:pPr>
      <w:r>
        <w:rPr>
          <w:rStyle w:val="FontStyle28"/>
          <w:rFonts w:ascii="Cambria" w:hAnsi="Cambria"/>
          <w:color w:themeColor="text1" w:val="000000"/>
          <w:sz w:val="22"/>
          <w:szCs w:val="22"/>
        </w:rPr>
        <w:t>prowadzić dziennik budowy i dokonywać wpisów każdorazowo zatwierdzonych przez Inspektora Nadzoru Inwestycyjnego</w:t>
      </w:r>
      <w:r>
        <w:rPr>
          <w:rStyle w:val="FootnoteReference"/>
          <w:rFonts w:ascii="Cambria" w:hAnsi="Cambria"/>
          <w:color w:themeColor="text1" w:val="000000"/>
          <w:sz w:val="22"/>
          <w:szCs w:val="22"/>
        </w:rPr>
        <w:footnoteReference w:id="2"/>
      </w:r>
    </w:p>
    <w:p>
      <w:pPr>
        <w:pStyle w:val="Domylnie"/>
        <w:numPr>
          <w:ilvl w:val="2"/>
          <w:numId w:val="2"/>
        </w:numPr>
        <w:tabs>
          <w:tab w:val="left" w:pos="708" w:leader="none"/>
          <w:tab w:val="left" w:pos="851" w:leader="none"/>
        </w:tabs>
        <w:suppressAutoHyphens w:val="false"/>
        <w:spacing w:lineRule="auto" w:line="276" w:before="120" w:after="120"/>
        <w:jc w:val="both"/>
        <w:rPr/>
      </w:pPr>
      <w:r>
        <w:rPr>
          <w:rStyle w:val="FontStyle28"/>
          <w:rFonts w:ascii="Cambria" w:hAnsi="Cambria"/>
          <w:color w:themeColor="text1" w:val="000000"/>
          <w:sz w:val="22"/>
          <w:szCs w:val="22"/>
        </w:rPr>
        <w:t xml:space="preserve">wykonać i dostarczyć Zamawiającemu kompletną dokumentacje powykonawczą  w dwóch egzemplarzach, w tym fotograficzną na nośniku CD 1 – 1 egz. wraz z wszystkimi protokołami, instrukcjami użytkowania, kartami gwarancyjnymi, kompletem atestów i dopuszczeni, </w:t>
      </w:r>
    </w:p>
    <w:p>
      <w:pPr>
        <w:pStyle w:val="Domylnie"/>
        <w:numPr>
          <w:ilvl w:val="2"/>
          <w:numId w:val="2"/>
        </w:numPr>
        <w:tabs>
          <w:tab w:val="left" w:pos="708" w:leader="none"/>
          <w:tab w:val="left" w:pos="851" w:leader="none"/>
        </w:tabs>
        <w:suppressAutoHyphens w:val="false"/>
        <w:spacing w:lineRule="auto" w:line="276" w:before="120" w:after="120"/>
        <w:jc w:val="both"/>
        <w:rPr/>
      </w:pPr>
      <w:r>
        <w:rPr>
          <w:rStyle w:val="FontStyle28"/>
          <w:rFonts w:ascii="Cambria" w:hAnsi="Cambria"/>
          <w:color w:themeColor="text1" w:val="000000"/>
          <w:sz w:val="22"/>
          <w:szCs w:val="22"/>
        </w:rPr>
        <w:t>złożyć wniosek i uzyskać pozwolenie na użytkowanie wzniesionego przez Wykonawcę obiektu budowlanego oraz przekazać komplet dokumentacji Zamawiającemu</w:t>
      </w:r>
      <w:r>
        <w:rPr>
          <w:rStyle w:val="FootnoteReference"/>
          <w:rFonts w:ascii="Cambria" w:hAnsi="Cambria"/>
          <w:color w:themeColor="text1" w:val="000000"/>
          <w:sz w:val="22"/>
          <w:szCs w:val="22"/>
        </w:rPr>
        <w:footnoteReference w:id="3"/>
      </w:r>
      <w:r>
        <w:rPr>
          <w:rStyle w:val="FontStyle28"/>
          <w:rFonts w:ascii="Cambria" w:hAnsi="Cambria"/>
          <w:color w:themeColor="text1" w:val="000000"/>
          <w:sz w:val="22"/>
          <w:szCs w:val="22"/>
        </w:rPr>
        <w:t>,</w:t>
      </w:r>
    </w:p>
    <w:p>
      <w:pPr>
        <w:pStyle w:val="Domylnie"/>
        <w:numPr>
          <w:ilvl w:val="2"/>
          <w:numId w:val="2"/>
        </w:numPr>
        <w:tabs>
          <w:tab w:val="left" w:pos="708" w:leader="none"/>
          <w:tab w:val="left" w:pos="851" w:leader="none"/>
        </w:tabs>
        <w:suppressAutoHyphens w:val="false"/>
        <w:spacing w:lineRule="auto" w:line="276" w:before="120" w:after="120"/>
        <w:jc w:val="both"/>
        <w:rPr/>
      </w:pPr>
      <w:r>
        <w:rPr>
          <w:rStyle w:val="FontStyle28"/>
          <w:rFonts w:ascii="Cambria" w:hAnsi="Cambria"/>
          <w:color w:themeColor="text1" w:val="000000"/>
          <w:sz w:val="22"/>
          <w:szCs w:val="22"/>
        </w:rPr>
        <w:t>uporządkować teren po zakończeniu robót budowlanych.</w:t>
      </w:r>
    </w:p>
    <w:p>
      <w:pPr>
        <w:pStyle w:val="Domylnie"/>
        <w:numPr>
          <w:ilvl w:val="1"/>
          <w:numId w:val="2"/>
        </w:numPr>
        <w:tabs>
          <w:tab w:val="left" w:pos="708" w:leader="none"/>
          <w:tab w:val="left" w:pos="851" w:leader="none"/>
        </w:tabs>
        <w:suppressAutoHyphens w:val="false"/>
        <w:spacing w:lineRule="auto" w:line="276" w:before="120" w:after="120"/>
        <w:jc w:val="both"/>
        <w:rPr/>
      </w:pPr>
      <w:r>
        <w:rPr>
          <w:rStyle w:val="FontStyle28"/>
          <w:rFonts w:ascii="Cambria" w:hAnsi="Cambria"/>
          <w:color w:val="auto"/>
          <w:sz w:val="22"/>
          <w:szCs w:val="22"/>
          <w:lang w:eastAsia="pl-PL"/>
        </w:rPr>
        <w:t>Minimalny wymagany okres gwarancji wynosi 60 miesięcy, licząc od daty podpisania końcowego protokołu odbioru.</w:t>
      </w:r>
    </w:p>
    <w:p>
      <w:pPr>
        <w:pStyle w:val="Domylnie"/>
        <w:numPr>
          <w:ilvl w:val="1"/>
          <w:numId w:val="2"/>
        </w:numPr>
        <w:tabs>
          <w:tab w:val="left" w:pos="708" w:leader="none"/>
          <w:tab w:val="left" w:pos="851" w:leader="none"/>
        </w:tabs>
        <w:suppressAutoHyphens w:val="false"/>
        <w:spacing w:lineRule="auto" w:line="276" w:before="120" w:after="120"/>
        <w:jc w:val="both"/>
        <w:rPr/>
      </w:pPr>
      <w:r>
        <w:rPr>
          <w:rFonts w:ascii="Cambria" w:hAnsi="Cambria"/>
          <w:color w:themeColor="text1" w:val="000000"/>
          <w:sz w:val="22"/>
          <w:szCs w:val="22"/>
        </w:rPr>
        <w:t>Zgodnie z art. 16a p.z.p. w zakresie objętym Porozumieniem Światowej Organizacji Handlu (porozumienia GPA) w sprawie zamówień rządowych lub innymi umowami międzynarodowymi gwarantującymi na zasadzie wzajemności i równości dostęp do rynku zamówień publicznych, któr</w:t>
      </w:r>
      <w:r>
        <w:rPr>
          <w:rFonts w:ascii="Cambria" w:hAnsi="Cambria"/>
          <w:color w:val="000000"/>
          <w:sz w:val="22"/>
          <w:szCs w:val="22"/>
        </w:rPr>
        <w:t>ych stroną jest Unia Europejska, Zamawiający zapewnia wykonawcom pochodzącym z państw trzecich będących stronami tego porozumienia lub tych umów międzynarodowych oraz robotom budowlanym pochodzącym z tych państw takie samo traktowanie jak traktowanie wykonawców pochodzących z państw członkowskich Unii Europejskiej oraz robót budowlanych pochodzących z państw członkowskich Unii Europejskiej. Zgodnie z art. 16b pzp, oferty wykonawców ora</w:t>
      </w:r>
      <w:r>
        <w:rPr>
          <w:rFonts w:ascii="Cambria" w:hAnsi="Cambria"/>
          <w:color w:themeColor="text1" w:val="000000"/>
          <w:sz w:val="22"/>
          <w:szCs w:val="22"/>
        </w:rPr>
        <w:t>z ofert dostaw pochodzący z państw trzecich niebędących stroną porozumienia GPA w sprawie zamówień rządowych ani innymi umowami międzynarodowymi gwarantującymi na zasadzie wzajemności i równości dostęp do rynku zamówień publicznych, których stroną jest Unia Europejska, będą podlegały wykluczeniu.</w:t>
      </w:r>
    </w:p>
    <w:p>
      <w:pPr>
        <w:pStyle w:val="Domylnie"/>
        <w:numPr>
          <w:ilvl w:val="1"/>
          <w:numId w:val="2"/>
        </w:numPr>
        <w:tabs>
          <w:tab w:val="left" w:pos="708" w:leader="none"/>
          <w:tab w:val="left" w:pos="851" w:leader="none"/>
        </w:tabs>
        <w:suppressAutoHyphens w:val="false"/>
        <w:spacing w:lineRule="auto" w:line="276" w:before="120" w:after="120"/>
        <w:jc w:val="both"/>
        <w:rPr/>
      </w:pPr>
      <w:r>
        <w:rPr>
          <w:rStyle w:val="FontStyle28"/>
          <w:rFonts w:cs="Calibri" w:ascii="Cambria" w:hAnsi="Cambria"/>
          <w:color w:val="auto"/>
          <w:sz w:val="22"/>
          <w:szCs w:val="22"/>
          <w:lang w:eastAsia="pl-PL"/>
        </w:rPr>
        <w:t xml:space="preserve"> </w:t>
      </w:r>
      <w:r>
        <w:rPr>
          <w:rStyle w:val="FontStyle28"/>
          <w:rFonts w:cs="Calibri" w:ascii="Cambria" w:hAnsi="Cambria"/>
          <w:color w:val="auto"/>
          <w:sz w:val="22"/>
          <w:szCs w:val="22"/>
          <w:lang w:eastAsia="pl-PL"/>
        </w:rPr>
        <w:t>Zamawiający wymaga by Wykonawca zawarł pisemną umowę z podmiotem odbierającym odpady bądź przekazywał odpady właścicielowi danej nieruchomości z zaznaczeniem kodu odpadów i informacją potwierdzoną przez właściciela, że ilość i jakość odpadów odpowiada właściwym w tym zakresie przepisom. Zamawiający wymaga od Wykonawcy udokumentowania sposobu zagospodarowania odpa</w:t>
      </w:r>
      <w:r>
        <w:rPr>
          <w:rStyle w:val="FontStyle28"/>
          <w:rFonts w:ascii="Cambria" w:hAnsi="Cambria"/>
          <w:color w:val="auto"/>
          <w:sz w:val="22"/>
          <w:szCs w:val="22"/>
          <w:lang w:eastAsia="pl-PL"/>
        </w:rPr>
        <w:t>dów powstałych podczas realizacji zadania, jako warunek dokonania odbioru przedmiotu zamówienia.</w:t>
      </w:r>
    </w:p>
    <w:p>
      <w:pPr>
        <w:pStyle w:val="Domylnie"/>
        <w:numPr>
          <w:ilvl w:val="1"/>
          <w:numId w:val="2"/>
        </w:numPr>
        <w:tabs>
          <w:tab w:val="left" w:pos="708" w:leader="none"/>
          <w:tab w:val="left" w:pos="851" w:leader="none"/>
        </w:tabs>
        <w:suppressAutoHyphens w:val="false"/>
        <w:spacing w:lineRule="auto" w:line="276" w:before="120" w:after="120"/>
        <w:jc w:val="both"/>
        <w:rPr/>
      </w:pPr>
      <w:r>
        <w:rPr>
          <w:rStyle w:val="FontStyle28"/>
          <w:rFonts w:ascii="Cambria" w:hAnsi="Cambria"/>
          <w:color w:val="auto"/>
          <w:sz w:val="22"/>
          <w:szCs w:val="22"/>
          <w:lang w:eastAsia="pl-PL"/>
        </w:rPr>
        <w:t xml:space="preserve"> </w:t>
      </w:r>
      <w:r>
        <w:rPr>
          <w:rStyle w:val="FontStyle28"/>
          <w:rFonts w:ascii="Cambria" w:hAnsi="Cambria"/>
          <w:color w:val="auto"/>
          <w:sz w:val="22"/>
          <w:szCs w:val="22"/>
          <w:lang w:eastAsia="pl-PL"/>
        </w:rPr>
        <w:t>CPV</w:t>
      </w:r>
    </w:p>
    <w:p>
      <w:pPr>
        <w:pStyle w:val="Domylnie"/>
        <w:tabs>
          <w:tab w:val="clear" w:pos="708"/>
          <w:tab w:val="left" w:pos="851" w:leader="none"/>
        </w:tabs>
        <w:spacing w:lineRule="auto" w:line="276" w:before="63" w:after="0"/>
        <w:ind w:left="708"/>
        <w:jc w:val="both"/>
        <w:rPr/>
      </w:pPr>
      <w:r>
        <w:rPr>
          <w:rFonts w:ascii="Cambria" w:hAnsi="Cambria"/>
          <w:color w:val="auto"/>
          <w:sz w:val="22"/>
          <w:szCs w:val="22"/>
          <w:u w:val="single"/>
        </w:rPr>
        <w:t>Kod podstawowy</w:t>
      </w:r>
      <w:r>
        <w:rPr>
          <w:rFonts w:ascii="Cambria" w:hAnsi="Cambria"/>
          <w:color w:val="auto"/>
          <w:sz w:val="22"/>
          <w:szCs w:val="22"/>
        </w:rPr>
        <w:t xml:space="preserve">: </w:t>
      </w:r>
    </w:p>
    <w:p>
      <w:pPr>
        <w:pStyle w:val="Domylnie"/>
        <w:tabs>
          <w:tab w:val="clear" w:pos="708"/>
          <w:tab w:val="left" w:pos="851" w:leader="none"/>
        </w:tabs>
        <w:spacing w:lineRule="auto" w:line="276" w:before="120" w:after="0"/>
        <w:ind w:left="708"/>
        <w:jc w:val="both"/>
        <w:rPr/>
      </w:pPr>
      <w:r>
        <w:rPr>
          <w:rFonts w:ascii="Cambria" w:hAnsi="Cambria"/>
          <w:color w:val="auto"/>
          <w:sz w:val="22"/>
          <w:szCs w:val="22"/>
        </w:rPr>
        <w:t>45000000-7 - Roboty budowlane</w:t>
      </w:r>
    </w:p>
    <w:p>
      <w:pPr>
        <w:pStyle w:val="Domylnie"/>
        <w:tabs>
          <w:tab w:val="clear" w:pos="708"/>
          <w:tab w:val="left" w:pos="851" w:leader="none"/>
        </w:tabs>
        <w:spacing w:lineRule="auto" w:line="276" w:before="63" w:after="0"/>
        <w:ind w:left="708"/>
        <w:jc w:val="both"/>
        <w:rPr/>
      </w:pPr>
      <w:r>
        <w:rPr>
          <w:rStyle w:val="FontStyle28"/>
          <w:rFonts w:ascii="Cambria" w:hAnsi="Cambria"/>
          <w:color w:val="auto"/>
          <w:sz w:val="22"/>
          <w:szCs w:val="22"/>
          <w:u w:val="single"/>
        </w:rPr>
        <w:t>Dodatkowe kody CPV:</w:t>
      </w:r>
    </w:p>
    <w:p>
      <w:pPr>
        <w:pStyle w:val="ListParagraph"/>
        <w:spacing w:lineRule="auto" w:line="276"/>
        <w:ind w:left="708"/>
        <w:jc w:val="both"/>
        <w:rPr/>
      </w:pPr>
      <w:r>
        <w:rPr>
          <w:rFonts w:eastAsia="Lucida Sans Unicode" w:cs="Arial" w:ascii="Cambria" w:hAnsi="Cambria"/>
          <w:sz w:val="22"/>
          <w:szCs w:val="22"/>
        </w:rPr>
        <w:t>45100000-8 - Przygotowanie terenu pod budowę</w:t>
      </w:r>
    </w:p>
    <w:p>
      <w:pPr>
        <w:pStyle w:val="Domylnie"/>
        <w:tabs>
          <w:tab w:val="clear" w:pos="708"/>
          <w:tab w:val="left" w:pos="851" w:leader="none"/>
        </w:tabs>
        <w:spacing w:lineRule="auto" w:line="276" w:before="120" w:after="0"/>
        <w:ind w:left="708"/>
        <w:jc w:val="both"/>
        <w:rPr/>
      </w:pPr>
      <w:r>
        <w:rPr>
          <w:rFonts w:ascii="Cambria" w:hAnsi="Cambria"/>
          <w:color w:val="auto"/>
          <w:sz w:val="22"/>
          <w:szCs w:val="22"/>
        </w:rPr>
        <w:t>45212300-9 Roboty budowlane w zakresie budowy artystycznych i kulturalnych obiektów budowlanych</w:t>
      </w:r>
    </w:p>
    <w:p>
      <w:pPr>
        <w:pStyle w:val="Domylnie"/>
        <w:tabs>
          <w:tab w:val="clear" w:pos="708"/>
          <w:tab w:val="left" w:pos="851" w:leader="none"/>
        </w:tabs>
        <w:spacing w:lineRule="auto" w:line="276" w:before="63" w:after="0"/>
        <w:ind w:left="708"/>
        <w:jc w:val="both"/>
        <w:rPr/>
      </w:pPr>
      <w:r>
        <w:rPr>
          <w:rFonts w:ascii="Cambria" w:hAnsi="Cambria"/>
          <w:color w:val="auto"/>
          <w:sz w:val="22"/>
          <w:szCs w:val="22"/>
        </w:rPr>
        <w:t>45400000-1 Roboty wykończeniowe w zakresie obiektów budowlanych</w:t>
      </w:r>
    </w:p>
    <w:p>
      <w:pPr>
        <w:pStyle w:val="Domylnie"/>
        <w:tabs>
          <w:tab w:val="clear" w:pos="708"/>
          <w:tab w:val="left" w:pos="851" w:leader="none"/>
        </w:tabs>
        <w:spacing w:lineRule="auto" w:line="276" w:before="120" w:after="0"/>
        <w:ind w:left="708"/>
        <w:jc w:val="both"/>
        <w:rPr/>
      </w:pPr>
      <w:r>
        <w:rPr>
          <w:rFonts w:ascii="Cambria" w:hAnsi="Cambria"/>
          <w:color w:val="auto"/>
          <w:sz w:val="22"/>
          <w:szCs w:val="22"/>
        </w:rPr>
        <w:t>45233220-7 Roboty w zakresie nawierzchni dróg</w:t>
      </w:r>
    </w:p>
    <w:p>
      <w:pPr>
        <w:pStyle w:val="Domylnie"/>
        <w:tabs>
          <w:tab w:val="clear" w:pos="708"/>
          <w:tab w:val="left" w:pos="851" w:leader="none"/>
        </w:tabs>
        <w:spacing w:lineRule="auto" w:line="276" w:before="120" w:after="0"/>
        <w:ind w:left="708"/>
        <w:jc w:val="both"/>
        <w:rPr/>
      </w:pPr>
      <w:r>
        <w:rPr>
          <w:rFonts w:ascii="Cambria" w:hAnsi="Cambria"/>
          <w:color w:val="auto"/>
          <w:sz w:val="22"/>
          <w:szCs w:val="22"/>
        </w:rPr>
        <w:t>45310000-3 Roboty instalacyjne elektryczne</w:t>
      </w:r>
    </w:p>
    <w:p>
      <w:pPr>
        <w:pStyle w:val="Domylnie"/>
        <w:tabs>
          <w:tab w:val="clear" w:pos="708"/>
          <w:tab w:val="left" w:pos="851" w:leader="none"/>
        </w:tabs>
        <w:spacing w:lineRule="auto" w:line="276" w:before="120" w:after="0"/>
        <w:ind w:left="708"/>
        <w:jc w:val="both"/>
        <w:rPr/>
      </w:pPr>
      <w:r>
        <w:rPr>
          <w:rFonts w:ascii="Cambria" w:hAnsi="Cambria"/>
          <w:color w:val="auto"/>
          <w:sz w:val="22"/>
          <w:szCs w:val="22"/>
        </w:rPr>
        <w:t>45330000-9 Roboty instalacyjne wodno-kanalizacyjne i sanitarne</w:t>
      </w:r>
    </w:p>
    <w:p>
      <w:pPr>
        <w:pStyle w:val="Domylnie"/>
        <w:numPr>
          <w:ilvl w:val="1"/>
          <w:numId w:val="2"/>
        </w:numPr>
        <w:tabs>
          <w:tab w:val="left" w:pos="708" w:leader="none"/>
          <w:tab w:val="left" w:pos="851" w:leader="none"/>
        </w:tabs>
        <w:suppressAutoHyphens w:val="false"/>
        <w:spacing w:lineRule="auto" w:line="276" w:before="120" w:after="120"/>
        <w:jc w:val="both"/>
        <w:rPr/>
      </w:pPr>
      <w:r>
        <w:rPr>
          <w:rStyle w:val="FontStyle28"/>
          <w:rFonts w:ascii="Cambria" w:hAnsi="Cambria"/>
          <w:color w:val="auto"/>
          <w:sz w:val="22"/>
          <w:szCs w:val="22"/>
        </w:rPr>
        <w:t>Szczegółowe wymagania w zakresie przedmiotu zamówienia zawierają dokumenty ujęte w załączniku nr 7 do SWZ – Dokumentacja techniczna – Opis przedmiotu zamówienia oraz w załączniku nr 6 do SWZ – Projektowane postanowienia Umowy.</w:t>
      </w:r>
    </w:p>
    <w:p>
      <w:pPr>
        <w:pStyle w:val="Domylnie"/>
        <w:numPr>
          <w:ilvl w:val="1"/>
          <w:numId w:val="2"/>
        </w:numPr>
        <w:tabs>
          <w:tab w:val="left" w:pos="708" w:leader="none"/>
          <w:tab w:val="left" w:pos="851" w:leader="none"/>
        </w:tabs>
        <w:suppressAutoHyphens w:val="false"/>
        <w:spacing w:lineRule="auto" w:line="276" w:before="120" w:after="120"/>
        <w:jc w:val="both"/>
        <w:rPr/>
      </w:pPr>
      <w:r>
        <w:rPr>
          <w:rStyle w:val="FontStyle28"/>
          <w:rFonts w:ascii="Cambria" w:hAnsi="Cambria"/>
          <w:color w:val="auto"/>
          <w:sz w:val="22"/>
          <w:szCs w:val="22"/>
        </w:rPr>
        <w:t>Termin realizacji zamówie</w:t>
      </w:r>
      <w:r>
        <w:rPr>
          <w:rStyle w:val="FontStyle28"/>
          <w:rFonts w:ascii="Cambria" w:hAnsi="Cambria"/>
          <w:sz w:val="22"/>
          <w:szCs w:val="22"/>
        </w:rPr>
        <w:t xml:space="preserve">nia – </w:t>
      </w:r>
      <w:r>
        <w:rPr>
          <w:rStyle w:val="FontStyle28"/>
          <w:rFonts w:ascii="Cambria" w:hAnsi="Cambria"/>
          <w:b/>
          <w:sz w:val="22"/>
          <w:szCs w:val="22"/>
        </w:rPr>
        <w:t>do 180 dni od daty udzielenia zamówienia.</w:t>
      </w:r>
    </w:p>
    <w:p>
      <w:pPr>
        <w:pStyle w:val="Domylnie"/>
        <w:numPr>
          <w:ilvl w:val="1"/>
          <w:numId w:val="2"/>
        </w:numPr>
        <w:tabs>
          <w:tab w:val="left" w:pos="708" w:leader="none"/>
          <w:tab w:val="left" w:pos="851" w:leader="none"/>
        </w:tabs>
        <w:suppressAutoHyphens w:val="false"/>
        <w:spacing w:lineRule="auto" w:line="276" w:before="120" w:after="120"/>
        <w:jc w:val="both"/>
        <w:rPr/>
      </w:pPr>
      <w:r>
        <w:rPr>
          <w:rStyle w:val="FontStyle28"/>
          <w:rFonts w:ascii="Cambria" w:hAnsi="Cambria"/>
          <w:sz w:val="22"/>
          <w:szCs w:val="22"/>
        </w:rPr>
        <w:t xml:space="preserve">Minimalny okres gwarancji na zrealizowany przedmiot zamówienia: </w:t>
      </w:r>
      <w:r>
        <w:rPr>
          <w:rStyle w:val="FontStyle28"/>
          <w:rFonts w:ascii="Cambria" w:hAnsi="Cambria"/>
          <w:b/>
          <w:bCs/>
          <w:sz w:val="22"/>
          <w:szCs w:val="22"/>
        </w:rPr>
        <w:t>60 miesięcy</w:t>
      </w:r>
      <w:r>
        <w:rPr>
          <w:rStyle w:val="FontStyle28"/>
          <w:rFonts w:ascii="Cambria" w:hAnsi="Cambria"/>
          <w:sz w:val="22"/>
          <w:szCs w:val="22"/>
        </w:rPr>
        <w:t>.</w:t>
      </w:r>
    </w:p>
    <w:p>
      <w:pPr>
        <w:pStyle w:val="Domylnie"/>
        <w:numPr>
          <w:ilvl w:val="1"/>
          <w:numId w:val="2"/>
        </w:numPr>
        <w:tabs>
          <w:tab w:val="left" w:pos="708" w:leader="none"/>
          <w:tab w:val="left" w:pos="851" w:leader="none"/>
        </w:tabs>
        <w:suppressAutoHyphens w:val="false"/>
        <w:spacing w:lineRule="auto" w:line="276" w:before="120" w:after="120"/>
        <w:jc w:val="both"/>
        <w:rPr/>
      </w:pPr>
      <w:r>
        <w:rPr>
          <w:rStyle w:val="FontStyle28"/>
          <w:rFonts w:ascii="Cambria" w:hAnsi="Cambria"/>
          <w:sz w:val="22"/>
          <w:szCs w:val="22"/>
        </w:rPr>
        <w:t>Zamawiający wymaga by</w:t>
      </w:r>
      <w:r>
        <w:rPr>
          <w:rStyle w:val="FontStyle28"/>
          <w:rFonts w:ascii="Cambria" w:hAnsi="Cambria"/>
          <w:color w:val="auto"/>
          <w:sz w:val="22"/>
          <w:szCs w:val="22"/>
        </w:rPr>
        <w:t xml:space="preserve"> osoby wskazane (w sekcji III pkt. 1.2.2 SWZ), wykonujące czynności w zakresie realizacji zamówienia, polegające na wykonywaniu samodzielnych funkcji technicznych w budownictwie, zostały przez wykonawcę lub podwykonawcę zatrudnione na podstawie umowy o pracę, jeżeli wykonywanie tych czynności polegać będzie na wykonywaniu pracy w sposób określony w </w:t>
      </w:r>
      <w:r>
        <w:fldChar w:fldCharType="begin"/>
      </w:r>
      <w:r>
        <w:rPr>
          <w:rStyle w:val="Style8"/>
          <w:sz w:val="22"/>
          <w:szCs w:val="22"/>
          <w:rFonts w:cs="Arial" w:ascii="Cambria" w:hAnsi="Cambria"/>
          <w:color w:val="auto"/>
        </w:rPr>
        <w:instrText xml:space="preserve"> HYPERLINK "https://sip.lex.pl/" \l "/dokument/16789274?cm=DOCUMENT%23art(22)par(1)"</w:instrText>
      </w:r>
      <w:r>
        <w:rPr>
          <w:rStyle w:val="Style8"/>
          <w:sz w:val="22"/>
          <w:szCs w:val="22"/>
          <w:rFonts w:cs="Arial" w:ascii="Cambria" w:hAnsi="Cambria"/>
          <w:color w:val="auto"/>
        </w:rPr>
        <w:fldChar w:fldCharType="separate"/>
      </w:r>
      <w:r>
        <w:rPr>
          <w:rStyle w:val="Style8"/>
          <w:rFonts w:cs="Arial" w:ascii="Cambria" w:hAnsi="Cambria"/>
          <w:color w:val="auto"/>
          <w:sz w:val="22"/>
          <w:szCs w:val="22"/>
        </w:rPr>
        <w:t>art. 22 § 1</w:t>
      </w:r>
      <w:r>
        <w:rPr>
          <w:rStyle w:val="Style8"/>
          <w:sz w:val="22"/>
          <w:szCs w:val="22"/>
          <w:rFonts w:cs="Arial" w:ascii="Cambria" w:hAnsi="Cambria"/>
          <w:color w:val="auto"/>
        </w:rPr>
        <w:fldChar w:fldCharType="end"/>
      </w:r>
      <w:r>
        <w:rPr>
          <w:rStyle w:val="FontStyle28"/>
          <w:rFonts w:ascii="Cambria" w:hAnsi="Cambria"/>
          <w:color w:val="auto"/>
          <w:sz w:val="22"/>
          <w:szCs w:val="22"/>
        </w:rPr>
        <w:t xml:space="preserve"> ustawy z dnia 26 czerwca 1974 r. - Kodeks pracy.</w:t>
      </w:r>
      <w:r>
        <w:rPr>
          <w:rStyle w:val="FontStyle28"/>
          <w:rFonts w:ascii="Cambria" w:hAnsi="Cambria"/>
          <w:sz w:val="22"/>
          <w:szCs w:val="22"/>
        </w:rPr>
        <w:t xml:space="preserve"> </w:t>
      </w:r>
    </w:p>
    <w:p>
      <w:pPr>
        <w:pStyle w:val="Domylnie"/>
        <w:numPr>
          <w:ilvl w:val="1"/>
          <w:numId w:val="2"/>
        </w:numPr>
        <w:tabs>
          <w:tab w:val="left" w:pos="708" w:leader="none"/>
          <w:tab w:val="left" w:pos="851" w:leader="none"/>
        </w:tabs>
        <w:suppressAutoHyphens w:val="false"/>
        <w:spacing w:lineRule="auto" w:line="276" w:before="120" w:after="120"/>
        <w:jc w:val="both"/>
        <w:rPr/>
      </w:pPr>
      <w:r>
        <w:rPr>
          <w:rStyle w:val="FontStyle28"/>
          <w:rFonts w:ascii="Cambria" w:hAnsi="Cambria"/>
          <w:color w:val="auto"/>
          <w:sz w:val="22"/>
          <w:szCs w:val="22"/>
        </w:rPr>
        <w:t xml:space="preserve"> </w:t>
      </w:r>
      <w:r>
        <w:rPr>
          <w:rStyle w:val="FontStyle28"/>
          <w:rFonts w:ascii="Cambria" w:hAnsi="Cambria"/>
          <w:color w:val="auto"/>
          <w:sz w:val="22"/>
          <w:szCs w:val="22"/>
        </w:rPr>
        <w:t>Zamawiający wymaga, aby osoby wykonujące czynności w zakresie robót budowlanych, w tym w szczególności wykonujące prace konstrukcyjne, instalacyjne, ogólnobudowlane, wykończeniowe, ziemne, w zakresie dróg i zagospodarowania terenu oraz montażowe, a także obsługujące maszyny budowlane, były zatrudnione w ramach stosunku pracy jako jego pracownicy w rozumieniu przepisów ustawy z dnia 26 czerwca 1974 r. – Kodeks pracy.</w:t>
      </w:r>
    </w:p>
    <w:p>
      <w:pPr>
        <w:pStyle w:val="Domylnie"/>
        <w:numPr>
          <w:ilvl w:val="1"/>
          <w:numId w:val="2"/>
        </w:numPr>
        <w:tabs>
          <w:tab w:val="left" w:pos="708" w:leader="none"/>
          <w:tab w:val="left" w:pos="851" w:leader="none"/>
        </w:tabs>
        <w:suppressAutoHyphens w:val="false"/>
        <w:spacing w:lineRule="auto" w:line="276" w:before="120" w:after="120"/>
        <w:jc w:val="both"/>
        <w:rPr/>
      </w:pPr>
      <w:r>
        <w:rPr>
          <w:rStyle w:val="FontStyle28"/>
          <w:rFonts w:ascii="Cambria" w:hAnsi="Cambria"/>
          <w:color w:val="auto"/>
          <w:sz w:val="22"/>
          <w:szCs w:val="22"/>
        </w:rPr>
        <w:t xml:space="preserve"> </w:t>
      </w:r>
      <w:r>
        <w:rPr>
          <w:rStyle w:val="FontStyle28"/>
          <w:rFonts w:ascii="Cambria" w:hAnsi="Cambria"/>
          <w:color w:val="auto"/>
          <w:sz w:val="22"/>
          <w:szCs w:val="22"/>
        </w:rPr>
        <w:t>Zamawiający prze</w:t>
      </w:r>
      <w:r>
        <w:rPr>
          <w:rStyle w:val="FontStyle28"/>
          <w:rFonts w:ascii="Cambria" w:hAnsi="Cambria"/>
          <w:color w:val="auto"/>
          <w:sz w:val="22"/>
          <w:szCs w:val="22"/>
          <w:lang w:eastAsia="pl-PL"/>
        </w:rPr>
        <w:t xml:space="preserve">widuje możliwość udzielenia zamówień </w:t>
      </w:r>
      <w:r>
        <w:rPr>
          <w:rStyle w:val="FontStyle28"/>
          <w:rFonts w:ascii="Cambria" w:hAnsi="Cambria"/>
          <w:color w:themeColor="text1" w:val="000000"/>
          <w:sz w:val="22"/>
          <w:szCs w:val="22"/>
          <w:lang w:eastAsia="pl-PL"/>
        </w:rPr>
        <w:t xml:space="preserve">na </w:t>
      </w:r>
      <w:r>
        <w:rPr>
          <w:rStyle w:val="FontStyle28"/>
          <w:rFonts w:ascii="Cambria" w:hAnsi="Cambria"/>
          <w:color w:val="auto"/>
          <w:sz w:val="22"/>
          <w:szCs w:val="22"/>
          <w:lang w:eastAsia="pl-PL"/>
        </w:rPr>
        <w:t xml:space="preserve">roboty budowlane podobne do zamówienia podstawowego i zgodne z jego przedmiotem, o których mowa w art. 214 ust. 1 pkt. 7 oraz ust. 2 p.z.p., których całkowita, łączna wartość nie przekroczy </w:t>
      </w:r>
      <w:r>
        <w:rPr>
          <w:rStyle w:val="FontStyle28"/>
          <w:rFonts w:ascii="Cambria" w:hAnsi="Cambria"/>
          <w:color w:val="000000"/>
          <w:sz w:val="22"/>
          <w:szCs w:val="22"/>
          <w:lang w:eastAsia="pl-PL"/>
        </w:rPr>
        <w:t xml:space="preserve">50% wartości zamówienia podstawowego. </w:t>
      </w:r>
    </w:p>
    <w:p>
      <w:pPr>
        <w:pStyle w:val="Domylnie"/>
        <w:tabs>
          <w:tab w:val="left" w:pos="708" w:leader="none"/>
          <w:tab w:val="left" w:pos="851" w:leader="none"/>
        </w:tabs>
        <w:spacing w:lineRule="auto" w:line="276" w:before="120" w:after="0"/>
        <w:ind w:left="792"/>
        <w:jc w:val="both"/>
        <w:rPr>
          <w:color w:val="000000"/>
        </w:rPr>
      </w:pPr>
      <w:r>
        <w:rPr>
          <w:rFonts w:cs="Calibri" w:ascii="Cambria" w:hAnsi="Cambria"/>
          <w:color w:val="000000"/>
          <w:sz w:val="22"/>
          <w:szCs w:val="22"/>
        </w:rPr>
        <w:t xml:space="preserve">Zamówienia podobne mogą polegać na powtórzeniu tego samego rodzaju zamówień, zgodnych z przedmiotem zamówienia podstawowego w zakresie robót ogólnobudowlanych, robót wykończeniowych, robót konstrukcyjnych, robót instalacyjnych, robót wykończeniowych, robót ziemnych, robót montażowych oraz </w:t>
      </w:r>
      <w:r>
        <w:rPr>
          <w:rFonts w:cs="Arial" w:ascii="Cambria" w:hAnsi="Cambria"/>
          <w:color w:val="000000"/>
          <w:sz w:val="22"/>
          <w:szCs w:val="22"/>
        </w:rPr>
        <w:t>robót z zakresu zagospodarowania terenu</w:t>
      </w:r>
      <w:r>
        <w:rPr>
          <w:rFonts w:cs="Calibri" w:ascii="Cambria" w:hAnsi="Cambria"/>
          <w:color w:val="000000"/>
          <w:sz w:val="22"/>
          <w:szCs w:val="22"/>
        </w:rPr>
        <w:t>.</w:t>
      </w:r>
    </w:p>
    <w:p>
      <w:pPr>
        <w:pStyle w:val="Domylnie"/>
        <w:tabs>
          <w:tab w:val="left" w:pos="708" w:leader="none"/>
          <w:tab w:val="left" w:pos="851" w:leader="none"/>
        </w:tabs>
        <w:spacing w:lineRule="auto" w:line="276" w:before="120" w:after="0"/>
        <w:ind w:left="792"/>
        <w:jc w:val="both"/>
        <w:rPr/>
      </w:pPr>
      <w:r>
        <w:rPr>
          <w:rFonts w:cs="Calibri" w:ascii="Cambria" w:hAnsi="Cambria"/>
          <w:color w:val="000000"/>
          <w:sz w:val="22"/>
          <w:szCs w:val="22"/>
        </w:rPr>
        <w:t>Warunki umowne na jakich zostaną udzielone ewentualne za</w:t>
      </w:r>
      <w:r>
        <w:rPr>
          <w:rFonts w:cs="Calibri" w:ascii="Cambria" w:hAnsi="Cambria"/>
          <w:sz w:val="22"/>
          <w:szCs w:val="22"/>
        </w:rPr>
        <w:t>mówienia uzupełniające: podstawą do negocjacji warunków udzielania zamówienia będzie wzór umowy nie odbiegający istotnie (z zachowaniem odpowiedniości) od postanowień wzoru umowy stanowiącego załącznik nr 6 do niniejszej SWZ.</w:t>
      </w:r>
    </w:p>
    <w:p>
      <w:pPr>
        <w:pStyle w:val="Domylnie"/>
        <w:numPr>
          <w:ilvl w:val="1"/>
          <w:numId w:val="2"/>
        </w:numPr>
        <w:tabs>
          <w:tab w:val="left" w:pos="708" w:leader="none"/>
          <w:tab w:val="left" w:pos="851" w:leader="none"/>
        </w:tabs>
        <w:suppressAutoHyphens w:val="false"/>
        <w:spacing w:lineRule="auto" w:line="276" w:before="120" w:after="120"/>
        <w:jc w:val="both"/>
        <w:rPr/>
      </w:pPr>
      <w:r>
        <w:rPr>
          <w:rStyle w:val="FontStyle28"/>
          <w:rFonts w:ascii="Cambria" w:hAnsi="Cambria"/>
          <w:color w:val="auto"/>
          <w:sz w:val="22"/>
          <w:szCs w:val="22"/>
          <w:lang w:eastAsia="pl-PL"/>
        </w:rPr>
        <w:t xml:space="preserve"> </w:t>
      </w:r>
      <w:r>
        <w:rPr>
          <w:rStyle w:val="FontStyle28"/>
          <w:rFonts w:ascii="Cambria" w:hAnsi="Cambria"/>
          <w:color w:val="auto"/>
          <w:sz w:val="22"/>
          <w:szCs w:val="22"/>
        </w:rPr>
        <w:t>Zamawiający dopuszcza realizację zamówienia przez podwykonawców.</w:t>
      </w:r>
    </w:p>
    <w:p>
      <w:pPr>
        <w:pStyle w:val="Domylnie"/>
        <w:numPr>
          <w:ilvl w:val="0"/>
          <w:numId w:val="2"/>
        </w:numPr>
        <w:tabs>
          <w:tab w:val="left" w:pos="708" w:leader="none"/>
          <w:tab w:val="left" w:pos="851" w:leader="none"/>
        </w:tabs>
        <w:suppressAutoHyphens w:val="false"/>
        <w:spacing w:lineRule="auto" w:line="276" w:before="120" w:after="120"/>
        <w:jc w:val="both"/>
        <w:rPr/>
      </w:pPr>
      <w:r>
        <w:rPr>
          <w:rStyle w:val="FontStyle28"/>
          <w:rFonts w:ascii="Cambria" w:hAnsi="Cambria"/>
          <w:color w:val="auto"/>
          <w:sz w:val="22"/>
          <w:szCs w:val="22"/>
          <w:lang w:eastAsia="pl-PL"/>
        </w:rPr>
        <w:t>Zamawiający nie dopuszcza możliwości składania ofert wariantowych.</w:t>
      </w:r>
    </w:p>
    <w:p>
      <w:pPr>
        <w:pStyle w:val="Domylnie"/>
        <w:numPr>
          <w:ilvl w:val="0"/>
          <w:numId w:val="2"/>
        </w:numPr>
        <w:tabs>
          <w:tab w:val="left" w:pos="708" w:leader="none"/>
          <w:tab w:val="left" w:pos="851" w:leader="none"/>
        </w:tabs>
        <w:suppressAutoHyphens w:val="false"/>
        <w:spacing w:lineRule="auto" w:line="276" w:before="120" w:after="120"/>
        <w:jc w:val="both"/>
        <w:rPr/>
      </w:pPr>
      <w:r>
        <w:rPr>
          <w:rStyle w:val="FontStyle28"/>
          <w:rFonts w:ascii="Cambria" w:hAnsi="Cambria"/>
          <w:color w:val="auto"/>
          <w:sz w:val="22"/>
          <w:szCs w:val="22"/>
          <w:lang w:eastAsia="pl-PL"/>
        </w:rPr>
        <w:t>Zamawiający żąda wniesienia wadium zgodnie z postanowieniami sekcji X niniejszej SWZ.</w:t>
      </w:r>
    </w:p>
    <w:p>
      <w:pPr>
        <w:pStyle w:val="Domylnie"/>
        <w:numPr>
          <w:ilvl w:val="0"/>
          <w:numId w:val="2"/>
        </w:numPr>
        <w:tabs>
          <w:tab w:val="left" w:pos="708" w:leader="none"/>
          <w:tab w:val="left" w:pos="851" w:leader="none"/>
        </w:tabs>
        <w:suppressAutoHyphens w:val="false"/>
        <w:spacing w:lineRule="auto" w:line="276" w:before="120" w:after="120"/>
        <w:jc w:val="both"/>
        <w:rPr/>
      </w:pPr>
      <w:r>
        <w:rPr>
          <w:rStyle w:val="FontStyle28"/>
          <w:rFonts w:ascii="Cambria" w:hAnsi="Cambria"/>
          <w:color w:val="auto"/>
          <w:sz w:val="22"/>
          <w:szCs w:val="22"/>
          <w:lang w:eastAsia="pl-PL"/>
        </w:rPr>
        <w:t xml:space="preserve"> </w:t>
      </w:r>
      <w:r>
        <w:rPr>
          <w:rStyle w:val="FontStyle28"/>
          <w:rFonts w:ascii="Cambria" w:hAnsi="Cambria"/>
          <w:color w:val="auto"/>
          <w:sz w:val="22"/>
          <w:szCs w:val="22"/>
          <w:lang w:eastAsia="pl-PL"/>
        </w:rPr>
        <w:t>Zamawiający żąda wniesienia zabezpieczenia należytego wykonania umowy zgodnie z postanowieniami sekcji XI niniejszej SWZ.</w:t>
      </w:r>
    </w:p>
    <w:p>
      <w:pPr>
        <w:pStyle w:val="Domylnie"/>
        <w:tabs>
          <w:tab w:val="left" w:pos="708" w:leader="none"/>
          <w:tab w:val="left" w:pos="851" w:leader="none"/>
        </w:tabs>
        <w:spacing w:lineRule="auto" w:line="276" w:before="120" w:after="120"/>
        <w:ind w:left="360"/>
        <w:jc w:val="both"/>
        <w:rPr>
          <w:rFonts w:ascii="Cambria" w:hAnsi="Cambria" w:cs="Arial"/>
          <w:color w:val="auto"/>
          <w:sz w:val="22"/>
          <w:szCs w:val="22"/>
        </w:rPr>
      </w:pPr>
      <w:r>
        <w:rPr>
          <w:rFonts w:cs="Arial" w:ascii="Cambria" w:hAnsi="Cambria"/>
          <w:color w:val="auto"/>
          <w:sz w:val="22"/>
          <w:szCs w:val="22"/>
        </w:rPr>
      </w:r>
    </w:p>
    <w:p>
      <w:pPr>
        <w:pStyle w:val="Normal"/>
        <w:numPr>
          <w:ilvl w:val="0"/>
          <w:numId w:val="1"/>
        </w:numPr>
        <w:spacing w:lineRule="auto" w:line="276" w:before="120" w:after="120"/>
        <w:jc w:val="both"/>
        <w:rPr/>
      </w:pPr>
      <w:r>
        <w:rPr>
          <w:rFonts w:cs="Arial" w:ascii="Cambria" w:hAnsi="Cambria"/>
          <w:b/>
          <w:sz w:val="22"/>
          <w:szCs w:val="22"/>
        </w:rPr>
        <w:t>KOMUNIKACJA MIĘDZY ZAMAWIAJĄCYM A WYKONAWCĄ</w:t>
      </w:r>
    </w:p>
    <w:p>
      <w:pPr>
        <w:pStyle w:val="Default"/>
        <w:numPr>
          <w:ilvl w:val="0"/>
          <w:numId w:val="56"/>
        </w:numPr>
        <w:spacing w:lineRule="auto" w:line="276" w:before="120" w:after="120"/>
        <w:ind w:hanging="426" w:left="426"/>
        <w:jc w:val="both"/>
        <w:rPr/>
      </w:pPr>
      <w:r>
        <w:rPr>
          <w:rFonts w:cs="Arial" w:ascii="Cambria" w:hAnsi="Cambria"/>
          <w:sz w:val="22"/>
          <w:szCs w:val="22"/>
        </w:rPr>
        <w:t>Postępowanie jest prowadzone w języku polskim.</w:t>
      </w:r>
    </w:p>
    <w:p>
      <w:pPr>
        <w:pStyle w:val="Default"/>
        <w:numPr>
          <w:ilvl w:val="0"/>
          <w:numId w:val="57"/>
        </w:numPr>
        <w:spacing w:lineRule="auto" w:line="276" w:before="120" w:after="120"/>
        <w:ind w:hanging="426" w:left="426"/>
        <w:jc w:val="both"/>
        <w:rPr/>
      </w:pPr>
      <w:r>
        <w:rPr>
          <w:rFonts w:cs="Arial" w:ascii="Cambria" w:hAnsi="Cambria"/>
          <w:sz w:val="22"/>
          <w:szCs w:val="22"/>
        </w:rPr>
        <w:t xml:space="preserve">W postępowaniu o udzielenie zamówienia komunikacja między Zamawiającym a Wykonawcami odbywa się przy użyciu środków komunikacji elektronicznej, tj. przy użyciu Platformy e-Zamówienia, która dostępna jest pod adresem https://ezamowienia.gov.pl </w:t>
      </w:r>
    </w:p>
    <w:p>
      <w:pPr>
        <w:pStyle w:val="Default"/>
        <w:numPr>
          <w:ilvl w:val="0"/>
          <w:numId w:val="58"/>
        </w:numPr>
        <w:spacing w:lineRule="auto" w:line="276" w:before="120" w:after="120"/>
        <w:ind w:hanging="426" w:left="426"/>
        <w:jc w:val="both"/>
        <w:rPr/>
      </w:pPr>
      <w:r>
        <w:rPr>
          <w:rFonts w:cs="Arial" w:ascii="Cambria" w:hAnsi="Cambria"/>
          <w:color w:val="auto"/>
          <w:sz w:val="22"/>
          <w:szCs w:val="22"/>
        </w:rPr>
        <w:t>Zamawiający</w:t>
      </w:r>
      <w:r>
        <w:rPr>
          <w:rFonts w:cs="Arial" w:ascii="Cambria" w:hAnsi="Cambria"/>
          <w:sz w:val="22"/>
          <w:szCs w:val="22"/>
        </w:rPr>
        <w:t xml:space="preserve"> wyznacza następujące osoby do kontaktu z Wykonawcami: </w:t>
      </w:r>
    </w:p>
    <w:p>
      <w:pPr>
        <w:pStyle w:val="Default"/>
        <w:spacing w:lineRule="auto" w:line="276" w:before="6" w:after="6"/>
        <w:ind w:left="720"/>
        <w:jc w:val="both"/>
        <w:rPr/>
      </w:pPr>
      <w:r>
        <w:rPr>
          <w:rFonts w:eastAsia="Lucida Sans Unicode" w:cs="Arial" w:ascii="Cambria" w:hAnsi="Cambria"/>
          <w:sz w:val="22"/>
          <w:szCs w:val="22"/>
          <w:lang w:eastAsia="zh-CN"/>
        </w:rPr>
        <w:t xml:space="preserve">Pan Piotr Guzik – w sprawach merytorycznych – </w:t>
      </w:r>
      <w:bookmarkStart w:id="2" w:name="_Hlk129241583"/>
      <w:r>
        <w:rPr>
          <w:rFonts w:eastAsia="Lucida Sans Unicode" w:cs="Arial" w:ascii="Cambria" w:hAnsi="Cambria"/>
          <w:sz w:val="22"/>
          <w:szCs w:val="22"/>
          <w:lang w:eastAsia="zh-CN"/>
        </w:rPr>
        <w:t>tel. +48 389 10 98 wew. 1</w:t>
      </w:r>
      <w:bookmarkEnd w:id="2"/>
      <w:r>
        <w:rPr>
          <w:rFonts w:eastAsia="Lucida Sans Unicode" w:cs="Arial" w:ascii="Cambria" w:hAnsi="Cambria"/>
          <w:sz w:val="22"/>
          <w:szCs w:val="22"/>
          <w:lang w:eastAsia="zh-CN"/>
        </w:rPr>
        <w:t>14</w:t>
      </w:r>
    </w:p>
    <w:p>
      <w:pPr>
        <w:pStyle w:val="Default"/>
        <w:spacing w:lineRule="auto" w:line="276" w:before="6" w:after="6"/>
        <w:ind w:left="720"/>
        <w:jc w:val="both"/>
        <w:rPr/>
      </w:pPr>
      <w:r>
        <w:rPr>
          <w:rFonts w:eastAsia="Lucida Sans Unicode" w:cs="Arial" w:ascii="Cambria" w:hAnsi="Cambria"/>
          <w:sz w:val="22"/>
          <w:szCs w:val="22"/>
          <w:lang w:eastAsia="zh-CN"/>
        </w:rPr>
        <w:t>Pan Robert Krześniak– w sprawach merytorycznych – tel. +48 389 10 98 wew. 114</w:t>
      </w:r>
    </w:p>
    <w:p>
      <w:pPr>
        <w:pStyle w:val="Default"/>
        <w:spacing w:lineRule="auto" w:line="276" w:before="6" w:after="6"/>
        <w:ind w:left="720"/>
        <w:jc w:val="both"/>
        <w:rPr/>
      </w:pPr>
      <w:r>
        <w:rPr>
          <w:rFonts w:eastAsia="Lucida Sans Unicode" w:cs="Arial" w:ascii="Cambria" w:hAnsi="Cambria"/>
          <w:sz w:val="22"/>
          <w:szCs w:val="22"/>
          <w:lang w:eastAsia="zh-CN"/>
        </w:rPr>
        <w:t>Pan Paweł Banaś – w sprawach proceduralnych – tel. + 48 600 47 36 47</w:t>
      </w:r>
    </w:p>
    <w:p>
      <w:pPr>
        <w:pStyle w:val="WW-Domylnie"/>
        <w:tabs>
          <w:tab w:val="clear" w:pos="708"/>
          <w:tab w:val="left" w:pos="851" w:leader="none"/>
        </w:tabs>
        <w:spacing w:lineRule="auto" w:line="276"/>
        <w:ind w:left="720"/>
        <w:jc w:val="both"/>
        <w:rPr/>
      </w:pPr>
      <w:r>
        <w:rPr>
          <w:rFonts w:cs="Arial" w:ascii="Cambria" w:hAnsi="Cambria"/>
          <w:sz w:val="22"/>
          <w:szCs w:val="22"/>
        </w:rPr>
        <w:t>Zamawiający informuje, że komunikacja ustna dopuszczalna jest w odniesieniu do informacji, które nie są istotne, w szczególności nie dotyczą ogłoszenia o zamówieniu lub dokumentów zamówienia lub ofert.</w:t>
      </w:r>
    </w:p>
    <w:p>
      <w:pPr>
        <w:pStyle w:val="Default"/>
        <w:numPr>
          <w:ilvl w:val="0"/>
          <w:numId w:val="59"/>
        </w:numPr>
        <w:spacing w:lineRule="auto" w:line="276" w:before="120" w:after="120"/>
        <w:ind w:hanging="360" w:left="426"/>
        <w:jc w:val="both"/>
        <w:rPr/>
      </w:pPr>
      <w:r>
        <w:rPr>
          <w:rFonts w:cs="Arial" w:ascii="Cambria" w:hAnsi="Cambria"/>
          <w:sz w:val="22"/>
          <w:szCs w:val="22"/>
        </w:rPr>
        <w:t xml:space="preserve">Korzystanie w postępowaniu z „Formularzy do komunikacji” wymaga posiadania przez Wykonawcę </w:t>
      </w:r>
      <w:r>
        <w:rPr>
          <w:rFonts w:cs="Arial" w:ascii="Cambria" w:hAnsi="Cambria"/>
          <w:b/>
          <w:bCs/>
          <w:sz w:val="22"/>
          <w:szCs w:val="22"/>
        </w:rPr>
        <w:t>konta „Wykonawcy” na Platformie e-Zamówienia oraz zalogowania się na Platformie e-Zamówienia.</w:t>
      </w:r>
    </w:p>
    <w:p>
      <w:pPr>
        <w:pStyle w:val="Default"/>
        <w:numPr>
          <w:ilvl w:val="0"/>
          <w:numId w:val="60"/>
        </w:numPr>
        <w:spacing w:lineRule="auto" w:line="276" w:before="120" w:after="120"/>
        <w:ind w:hanging="426" w:left="426"/>
        <w:jc w:val="both"/>
        <w:rPr/>
      </w:pPr>
      <w:r>
        <w:rPr>
          <w:rFonts w:cs="Arial" w:ascii="Cambria" w:hAnsi="Cambria"/>
          <w:sz w:val="22"/>
          <w:szCs w:val="22"/>
        </w:rPr>
        <w:t>Za pośrednictwem „Formularzy do komunikacji” odbywa się w szczególności: przekazywanie wezwań i zawiadomień, zadawanie pytań i udzielanie odpowiedzi.</w:t>
      </w:r>
    </w:p>
    <w:p>
      <w:pPr>
        <w:pStyle w:val="Default"/>
        <w:numPr>
          <w:ilvl w:val="0"/>
          <w:numId w:val="61"/>
        </w:numPr>
        <w:spacing w:lineRule="auto" w:line="276" w:before="120" w:after="120"/>
        <w:ind w:hanging="426" w:left="426"/>
        <w:jc w:val="both"/>
        <w:rPr/>
      </w:pPr>
      <w:r>
        <w:rPr>
          <w:rFonts w:cs="Arial" w:ascii="Cambria" w:hAnsi="Cambria"/>
          <w:sz w:val="22"/>
          <w:szCs w:val="22"/>
        </w:rPr>
        <w:t xml:space="preserve">Do korzystania z „Formularzy do komunikacji” służących do zadawania pytań dotyczących treści dokumentów zamówienia wystarczające jest posiadanie tzw. konta uproszczonego na Platformie e-Zamówienia. </w:t>
      </w:r>
    </w:p>
    <w:p>
      <w:pPr>
        <w:pStyle w:val="Default"/>
        <w:numPr>
          <w:ilvl w:val="0"/>
          <w:numId w:val="62"/>
        </w:numPr>
        <w:spacing w:lineRule="auto" w:line="276" w:before="120" w:after="120"/>
        <w:ind w:hanging="426" w:left="426"/>
        <w:jc w:val="both"/>
        <w:rPr/>
      </w:pPr>
      <w:r>
        <w:rPr>
          <w:rFonts w:cs="Arial" w:ascii="Cambria" w:hAnsi="Cambria"/>
          <w:color w:val="auto"/>
          <w:sz w:val="22"/>
          <w:szCs w:val="22"/>
        </w:rPr>
        <w:t>Szczegółowe</w:t>
      </w:r>
      <w:r>
        <w:rPr>
          <w:rFonts w:cs="Arial" w:ascii="Cambria" w:hAnsi="Cambria"/>
          <w:sz w:val="22"/>
          <w:szCs w:val="22"/>
        </w:rPr>
        <w:t xml:space="preserve"> informacje na temat zakładania kont podmiotów oraz zasady i warunki korzystania z Platformy e-Zamówienia określa Regulamin Platformy e-Zamówienia, dostępny na stronie internetowej: </w:t>
      </w:r>
      <w:r>
        <w:fldChar w:fldCharType="begin"/>
      </w:r>
      <w:r>
        <w:rPr>
          <w:rStyle w:val="Style8"/>
          <w:sz w:val="22"/>
          <w:u w:val="single"/>
          <w:szCs w:val="22"/>
          <w:rFonts w:cs="Arial" w:ascii="Cambria" w:hAnsi="Cambria"/>
          <w:color w:themeColor="hyperlink" w:val="0563C1"/>
        </w:rPr>
        <w:instrText xml:space="preserve"> HYPERLINK "https://ezamowienia.gov.pl/pl/regulamin/" \l "regulamin-serwisu"</w:instrText>
      </w:r>
      <w:r>
        <w:rPr>
          <w:rStyle w:val="Style8"/>
          <w:sz w:val="22"/>
          <w:u w:val="single"/>
          <w:szCs w:val="22"/>
          <w:rFonts w:cs="Arial" w:ascii="Cambria" w:hAnsi="Cambria"/>
          <w:color w:themeColor="hyperlink" w:val="0563C1"/>
        </w:rPr>
        <w:fldChar w:fldCharType="separate"/>
      </w:r>
      <w:r>
        <w:rPr>
          <w:rStyle w:val="Style8"/>
          <w:rFonts w:cs="Arial" w:ascii="Cambria" w:hAnsi="Cambria"/>
          <w:color w:themeColor="hyperlink" w:val="0563C1"/>
          <w:sz w:val="22"/>
          <w:szCs w:val="22"/>
          <w:u w:val="single"/>
        </w:rPr>
        <w:t>https://ezamowienia.gov.pl/pl/regulamin/#regulamin-serwisu</w:t>
      </w:r>
      <w:r>
        <w:rPr>
          <w:rStyle w:val="Style8"/>
          <w:sz w:val="22"/>
          <w:u w:val="single"/>
          <w:szCs w:val="22"/>
          <w:rFonts w:cs="Arial" w:ascii="Cambria" w:hAnsi="Cambria"/>
          <w:color w:themeColor="hyperlink" w:val="0563C1"/>
        </w:rPr>
        <w:fldChar w:fldCharType="end"/>
      </w:r>
      <w:r>
        <w:rPr>
          <w:rFonts w:cs="Arial" w:ascii="Cambria" w:hAnsi="Cambria"/>
          <w:sz w:val="22"/>
          <w:szCs w:val="22"/>
        </w:rPr>
        <w:t xml:space="preserve"> oraz informacje zamieszczone w zakładce „Centrum Pomocy” </w:t>
      </w:r>
      <w:hyperlink r:id="rId4">
        <w:r>
          <w:rPr>
            <w:rStyle w:val="Style8"/>
            <w:rFonts w:cs="Arial" w:ascii="Cambria" w:hAnsi="Cambria"/>
            <w:color w:themeColor="hyperlink" w:val="0563C1"/>
            <w:sz w:val="22"/>
            <w:szCs w:val="22"/>
            <w:u w:val="single"/>
          </w:rPr>
          <w:t>https://ezamowienia.gov.pl/pl/komponent-edukacyjny/</w:t>
        </w:r>
      </w:hyperlink>
      <w:r>
        <w:rPr>
          <w:rFonts w:cs="Arial" w:ascii="Cambria" w:hAnsi="Cambria"/>
          <w:sz w:val="22"/>
          <w:szCs w:val="22"/>
        </w:rPr>
        <w:t xml:space="preserve"> .</w:t>
      </w:r>
    </w:p>
    <w:p>
      <w:pPr>
        <w:pStyle w:val="Default"/>
        <w:numPr>
          <w:ilvl w:val="0"/>
          <w:numId w:val="63"/>
        </w:numPr>
        <w:spacing w:lineRule="auto" w:line="276" w:before="120" w:after="120"/>
        <w:ind w:hanging="426" w:left="426"/>
        <w:jc w:val="both"/>
        <w:rPr/>
      </w:pPr>
      <w:r>
        <w:rPr>
          <w:rFonts w:cs="Arial" w:ascii="Cambria" w:hAnsi="Cambria"/>
          <w:sz w:val="22"/>
          <w:szCs w:val="22"/>
        </w:rPr>
        <w:t>„</w:t>
      </w:r>
      <w:r>
        <w:rPr>
          <w:rFonts w:cs="Arial" w:ascii="Cambria" w:hAnsi="Cambria"/>
          <w:color w:val="auto"/>
          <w:sz w:val="22"/>
          <w:szCs w:val="22"/>
        </w:rPr>
        <w:t>Formularze</w:t>
      </w:r>
      <w:r>
        <w:rPr>
          <w:rFonts w:cs="Arial" w:ascii="Cambria" w:hAnsi="Cambria"/>
          <w:sz w:val="22"/>
          <w:szCs w:val="22"/>
        </w:rPr>
        <w:t xml:space="preserve"> do komunikacji” umożliwiają, również dołączenie załącznika do przesyłanej wiadomości (przycisk „dodaj załącznik”). </w:t>
      </w:r>
    </w:p>
    <w:p>
      <w:pPr>
        <w:pStyle w:val="Default"/>
        <w:numPr>
          <w:ilvl w:val="0"/>
          <w:numId w:val="64"/>
        </w:numPr>
        <w:spacing w:lineRule="auto" w:line="276" w:before="120" w:after="120"/>
        <w:ind w:hanging="426" w:left="426"/>
        <w:jc w:val="both"/>
        <w:rPr/>
      </w:pPr>
      <w:r>
        <w:rPr>
          <w:rFonts w:cs="Arial" w:ascii="Cambria" w:hAnsi="Cambria"/>
          <w:color w:val="auto"/>
          <w:sz w:val="22"/>
          <w:szCs w:val="22"/>
        </w:rPr>
        <w:t>Wszystkie</w:t>
      </w:r>
      <w:r>
        <w:rPr>
          <w:rFonts w:cs="Arial" w:ascii="Cambria" w:hAnsi="Cambria"/>
          <w:sz w:val="22"/>
          <w:szCs w:val="22"/>
        </w:rPr>
        <w:t xml:space="preserve"> wysłane i odebrane w postępowaniu przez Wykonawcę wiadomości widoczne są po zalogowaniu do Platformy e-Zamówienia w podglądzie postępowania w zakładce „Komunikacja”.</w:t>
      </w:r>
    </w:p>
    <w:p>
      <w:pPr>
        <w:pStyle w:val="Default"/>
        <w:numPr>
          <w:ilvl w:val="0"/>
          <w:numId w:val="65"/>
        </w:numPr>
        <w:spacing w:lineRule="auto" w:line="276" w:before="120" w:after="120"/>
        <w:ind w:hanging="426" w:left="426"/>
        <w:jc w:val="both"/>
        <w:rPr/>
      </w:pPr>
      <w:r>
        <w:rPr>
          <w:rFonts w:cs="Arial" w:ascii="Cambria" w:hAnsi="Cambria"/>
          <w:color w:val="auto"/>
          <w:sz w:val="22"/>
          <w:szCs w:val="22"/>
        </w:rPr>
        <w:t>We</w:t>
      </w:r>
      <w:r>
        <w:rPr>
          <w:rFonts w:cs="Arial" w:ascii="Cambria" w:hAnsi="Cambria"/>
          <w:sz w:val="22"/>
          <w:szCs w:val="22"/>
        </w:rPr>
        <w:t xml:space="preserve"> wszelkiej korespondencji związanej z niniejszym postępowaniem Zamawiający </w:t>
        <w:br/>
        <w:t xml:space="preserve">i Wykonawcy posługują się numerem sprawy: </w:t>
      </w:r>
      <w:r>
        <w:rPr>
          <w:rFonts w:cs="Arial" w:ascii="Cambria" w:hAnsi="Cambria"/>
          <w:b/>
          <w:bCs/>
          <w:sz w:val="22"/>
          <w:szCs w:val="22"/>
        </w:rPr>
        <w:t>RI.271.I.4.2026.RK</w:t>
      </w:r>
    </w:p>
    <w:p>
      <w:pPr>
        <w:pStyle w:val="Default"/>
        <w:numPr>
          <w:ilvl w:val="0"/>
          <w:numId w:val="66"/>
        </w:numPr>
        <w:spacing w:lineRule="auto" w:line="276" w:before="120" w:after="120"/>
        <w:ind w:hanging="426" w:left="426"/>
        <w:jc w:val="both"/>
        <w:rPr/>
      </w:pPr>
      <w:r>
        <w:rPr>
          <w:rFonts w:cs="Arial" w:ascii="Cambria" w:hAnsi="Cambria"/>
          <w:color w:val="auto"/>
          <w:sz w:val="22"/>
          <w:szCs w:val="22"/>
        </w:rPr>
        <w:t>Składane</w:t>
      </w:r>
      <w:r>
        <w:rPr>
          <w:rFonts w:cs="Arial" w:ascii="Cambria" w:hAnsi="Cambria"/>
          <w:sz w:val="22"/>
          <w:szCs w:val="22"/>
        </w:rPr>
        <w:t xml:space="preserve"> na wezwanie Zamawiającego:</w:t>
      </w:r>
    </w:p>
    <w:p>
      <w:pPr>
        <w:pStyle w:val="Normal"/>
        <w:numPr>
          <w:ilvl w:val="1"/>
          <w:numId w:val="26"/>
        </w:numPr>
        <w:spacing w:lineRule="auto" w:line="276"/>
        <w:jc w:val="both"/>
        <w:rPr/>
      </w:pPr>
      <w:r>
        <w:rPr>
          <w:rFonts w:cs="Arial" w:ascii="Cambria" w:hAnsi="Cambria"/>
          <w:spacing w:val="-4"/>
          <w:sz w:val="22"/>
          <w:szCs w:val="22"/>
        </w:rPr>
        <w:t>oświadczenia o spełnianiu warunków udziału w postępowaniu i braku podstaw wykluczenia, pełnomocnictwo, podmiotowe środki dowodowe (w tym oświadczenie, o którym mowa w art. 117 ust. 4 ustawy Pzp), zobowiązanie podmiotu udostępniającego zasoby, sporządza się w postaci elektronicznej w ogólnie dostępnych formatach danych</w:t>
      </w:r>
      <w:r>
        <w:rPr>
          <w:rStyle w:val="FootnoteReference"/>
          <w:rFonts w:cs="Arial" w:ascii="Cambria" w:hAnsi="Cambria"/>
          <w:spacing w:val="-4"/>
          <w:sz w:val="22"/>
          <w:szCs w:val="22"/>
        </w:rPr>
        <w:footnoteReference w:id="4"/>
      </w:r>
      <w:r>
        <w:rPr>
          <w:rFonts w:cs="Arial" w:ascii="Cambria" w:hAnsi="Cambria"/>
          <w:spacing w:val="-4"/>
          <w:sz w:val="22"/>
          <w:szCs w:val="22"/>
        </w:rPr>
        <w:t xml:space="preserve"> (przykładowo: .rtf, .doc, .docx, .pdf, .odt, .xls, .xlsx, .jpg, .tif, .png, .zip, .tar, .gz, .7z.) i przekazuje jako załącznik do: „Formularza do komunikacji” dostępny na Platformie e-Zamówienia (maksymalny rozmiar przesyłanych plików wynosi 150 MB),</w:t>
      </w:r>
    </w:p>
    <w:p>
      <w:pPr>
        <w:pStyle w:val="Normal"/>
        <w:spacing w:lineRule="auto" w:line="276"/>
        <w:rPr>
          <w:rFonts w:ascii="Cambria" w:hAnsi="Cambria"/>
          <w:sz w:val="22"/>
          <w:szCs w:val="22"/>
        </w:rPr>
      </w:pPr>
      <w:r>
        <w:rPr>
          <w:rFonts w:ascii="Cambria" w:hAnsi="Cambria"/>
          <w:sz w:val="22"/>
          <w:szCs w:val="22"/>
        </w:rPr>
      </w:r>
    </w:p>
    <w:p>
      <w:pPr>
        <w:pStyle w:val="Normal"/>
        <w:numPr>
          <w:ilvl w:val="1"/>
          <w:numId w:val="26"/>
        </w:numPr>
        <w:spacing w:lineRule="auto" w:line="276"/>
        <w:jc w:val="both"/>
        <w:rPr/>
      </w:pPr>
      <w:r>
        <w:rPr>
          <w:rFonts w:cs="Arial" w:ascii="Cambria" w:hAnsi="Cambria"/>
          <w:sz w:val="22"/>
          <w:szCs w:val="22"/>
        </w:rPr>
        <w:t xml:space="preserve">informacje, oświadczenia lub dokumenty </w:t>
      </w:r>
      <w:r>
        <w:rPr>
          <w:rFonts w:cs="Arial" w:ascii="Cambria" w:hAnsi="Cambria"/>
          <w:sz w:val="22"/>
          <w:szCs w:val="22"/>
          <w:u w:val="single"/>
        </w:rPr>
        <w:t>inne niż określone w pkt 11.1.</w:t>
      </w:r>
      <w:r>
        <w:rPr>
          <w:rFonts w:cs="Arial" w:ascii="Cambria" w:hAnsi="Cambria"/>
          <w:sz w:val="22"/>
          <w:szCs w:val="22"/>
        </w:rPr>
        <w:t xml:space="preserve"> mogą zostać przesłane, również jako tekst wpisany bezpośrednio do wiadomości przekazywanej przez: „Formularz do komunikacji” dostępny na Platformie e-Zamówienia.</w:t>
      </w:r>
    </w:p>
    <w:p>
      <w:pPr>
        <w:pStyle w:val="Default"/>
        <w:numPr>
          <w:ilvl w:val="0"/>
          <w:numId w:val="67"/>
        </w:numPr>
        <w:spacing w:lineRule="auto" w:line="276" w:before="120" w:after="120"/>
        <w:ind w:hanging="426" w:left="426"/>
        <w:jc w:val="both"/>
        <w:rPr/>
      </w:pPr>
      <w:r>
        <w:rPr>
          <w:rFonts w:cs="Arial" w:ascii="Cambria" w:hAnsi="Cambria"/>
          <w:sz w:val="22"/>
          <w:szCs w:val="22"/>
        </w:rPr>
        <w:t xml:space="preserve">Sposób sporządzenia dokumentów elektronicznych musi być zgodny z wymaganiami określonymi w </w:t>
      </w:r>
      <w:r>
        <w:rPr>
          <w:rFonts w:cs="Arial" w:ascii="Cambria" w:hAnsi="Cambria"/>
          <w:i/>
          <w:iCs/>
          <w:sz w:val="22"/>
          <w:szCs w:val="22"/>
        </w:rPr>
        <w:t>rozporządzeniu Prezesa Rady Ministrów z dnia 30 grudnia 2020 r. w sprawie sposobu sporządzania i przekazywania informacji oraz wymagań technicznych dla dokumentów elektronicznych oraz środków komunikacji elektronicznej w postępowaniu o udzielenie zamówienia publicznego lub konkursie (Dz. U. z 2020 r. poz. 2452) oraz rozporządzeniu Ministra Rozwoju, Pracy i Technologii z dnia 23 grudnia 2020 r. w sprawie podmiotowych środków dowodowych oraz innych dokumentów lub oświadczeń, jakich może żądać Zamawiający od Wykonawcy (Dz. U. z 2020 r. poz. 2415).</w:t>
      </w:r>
    </w:p>
    <w:p>
      <w:pPr>
        <w:pStyle w:val="Default"/>
        <w:numPr>
          <w:ilvl w:val="0"/>
          <w:numId w:val="68"/>
        </w:numPr>
        <w:spacing w:lineRule="auto" w:line="276" w:before="120" w:after="120"/>
        <w:ind w:hanging="426" w:left="426"/>
        <w:jc w:val="both"/>
        <w:rPr/>
      </w:pPr>
      <w:r>
        <w:rPr>
          <w:rFonts w:cs="Arial" w:ascii="Cambria" w:hAnsi="Cambria"/>
          <w:sz w:val="22"/>
          <w:szCs w:val="22"/>
        </w:rPr>
        <w:t xml:space="preserve">Minimalne wymagania techniczne dotyczące sprzętu używanego w celu korzystania z usług Platformy e-Zamówienia oraz informacje dotyczące specyfikacji połączenia określa Regulamin Platformy e-Zamówienia pod linkiem </w:t>
      </w:r>
      <w:r>
        <w:fldChar w:fldCharType="begin"/>
      </w:r>
      <w:r>
        <w:rPr>
          <w:rStyle w:val="Style8"/>
          <w:sz w:val="22"/>
          <w:u w:val="single"/>
          <w:szCs w:val="22"/>
          <w:rFonts w:cs="Arial" w:ascii="Cambria" w:hAnsi="Cambria"/>
          <w:color w:themeColor="hyperlink" w:val="0563C1"/>
        </w:rPr>
        <w:instrText xml:space="preserve"> HYPERLINK "https://ezamowienia.gov.pl/pl/regulamin/" \l "regulamin-serwisu"</w:instrText>
      </w:r>
      <w:r>
        <w:rPr>
          <w:rStyle w:val="Style8"/>
          <w:sz w:val="22"/>
          <w:u w:val="single"/>
          <w:szCs w:val="22"/>
          <w:rFonts w:cs="Arial" w:ascii="Cambria" w:hAnsi="Cambria"/>
          <w:color w:themeColor="hyperlink" w:val="0563C1"/>
        </w:rPr>
        <w:fldChar w:fldCharType="separate"/>
      </w:r>
      <w:r>
        <w:rPr>
          <w:rStyle w:val="Style8"/>
          <w:rFonts w:cs="Arial" w:ascii="Cambria" w:hAnsi="Cambria"/>
          <w:color w:themeColor="hyperlink" w:val="0563C1"/>
          <w:sz w:val="22"/>
          <w:szCs w:val="22"/>
          <w:u w:val="single"/>
        </w:rPr>
        <w:t>https://ezamowienia.gov.pl/pl/regulamin/#regulamin-serwisu</w:t>
      </w:r>
      <w:r>
        <w:rPr>
          <w:rStyle w:val="Style8"/>
          <w:sz w:val="22"/>
          <w:u w:val="single"/>
          <w:szCs w:val="22"/>
          <w:rFonts w:cs="Arial" w:ascii="Cambria" w:hAnsi="Cambria"/>
          <w:color w:themeColor="hyperlink" w:val="0563C1"/>
        </w:rPr>
        <w:fldChar w:fldCharType="end"/>
      </w:r>
    </w:p>
    <w:p>
      <w:pPr>
        <w:pStyle w:val="Default"/>
        <w:numPr>
          <w:ilvl w:val="0"/>
          <w:numId w:val="69"/>
        </w:numPr>
        <w:spacing w:lineRule="auto" w:line="276" w:before="120" w:after="120"/>
        <w:ind w:hanging="426" w:left="426"/>
        <w:jc w:val="both"/>
        <w:rPr/>
      </w:pPr>
      <w:r>
        <w:rPr>
          <w:rFonts w:cs="Arial" w:ascii="Cambria" w:hAnsi="Cambria"/>
          <w:sz w:val="22"/>
          <w:szCs w:val="22"/>
        </w:rPr>
        <w:t xml:space="preserve">W przypadku problemów technicznych i awarii związanych z funkcjonowaniem </w:t>
      </w:r>
      <w:r>
        <w:rPr>
          <w:rFonts w:cs="Arial" w:ascii="Cambria" w:hAnsi="Cambria"/>
          <w:color w:val="auto"/>
          <w:sz w:val="22"/>
          <w:szCs w:val="22"/>
        </w:rPr>
        <w:t>Platformy</w:t>
      </w:r>
      <w:r>
        <w:rPr>
          <w:rFonts w:cs="Arial" w:ascii="Cambria" w:hAnsi="Cambria"/>
          <w:sz w:val="22"/>
          <w:szCs w:val="22"/>
        </w:rPr>
        <w:t xml:space="preserve"> e-Zamówienia użytkownicy mogą skorzystać ze wsparcia technicznego dostępnego pod numerem telefonu (32) 77 88 999 lub drogą elektroniczną poprzez formularz udostępniony na stronie internetowej https://ezamowienia.gov.pl w zakładce „Zgłoś problem” </w:t>
      </w:r>
      <w:hyperlink r:id="rId5">
        <w:r>
          <w:rPr>
            <w:rStyle w:val="Style8"/>
            <w:rFonts w:cs="Arial" w:ascii="Cambria" w:hAnsi="Cambria"/>
            <w:color w:themeColor="hyperlink" w:val="0563C1"/>
            <w:sz w:val="22"/>
            <w:szCs w:val="22"/>
            <w:u w:val="single"/>
          </w:rPr>
          <w:t>https://ezamowienia.gov.pl/soz/latest-faq</w:t>
        </w:r>
      </w:hyperlink>
      <w:r>
        <w:rPr>
          <w:rFonts w:cs="Arial" w:ascii="Cambria" w:hAnsi="Cambria"/>
          <w:sz w:val="22"/>
          <w:szCs w:val="22"/>
        </w:rPr>
        <w:t xml:space="preserve"> .</w:t>
      </w:r>
    </w:p>
    <w:p>
      <w:pPr>
        <w:pStyle w:val="Default"/>
        <w:numPr>
          <w:ilvl w:val="0"/>
          <w:numId w:val="70"/>
        </w:numPr>
        <w:spacing w:lineRule="auto" w:line="276" w:before="120" w:after="120"/>
        <w:ind w:hanging="426" w:left="426"/>
        <w:jc w:val="both"/>
        <w:rPr/>
      </w:pPr>
      <w:r>
        <w:rPr>
          <w:rFonts w:cs="Arial" w:ascii="Cambria" w:hAnsi="Cambria"/>
          <w:sz w:val="22"/>
          <w:szCs w:val="22"/>
        </w:rPr>
        <w:t xml:space="preserve">W </w:t>
      </w:r>
      <w:r>
        <w:rPr>
          <w:rFonts w:cs="Arial" w:ascii="Cambria" w:hAnsi="Cambria"/>
          <w:color w:themeColor="text1" w:val="000000"/>
          <w:sz w:val="22"/>
          <w:szCs w:val="22"/>
        </w:rPr>
        <w:t xml:space="preserve">uzasadnionych przypadkach, w szczególności w sytuacjach uniemożliwiających </w:t>
      </w:r>
      <w:r>
        <w:rPr>
          <w:rFonts w:cs="Arial" w:ascii="Cambria" w:hAnsi="Cambria"/>
          <w:sz w:val="22"/>
          <w:szCs w:val="22"/>
        </w:rPr>
        <w:t xml:space="preserve">komunikację Wykonawcy i Zamawiającego za pośrednictwem Platformy e-Zamówienia, Zamawiający dopuszcza komunikację za pomocą poczty elektronicznej na adres e-mail: </w:t>
      </w:r>
      <w:r>
        <w:rPr>
          <w:rFonts w:cs="Arial" w:ascii="Cambria" w:hAnsi="Cambria"/>
          <w:color w:val="auto"/>
          <w:sz w:val="22"/>
          <w:szCs w:val="22"/>
        </w:rPr>
        <w:t>wskazano w sekcji I.1) niniejszej SWZ</w:t>
      </w:r>
      <w:r>
        <w:rPr>
          <w:rFonts w:ascii="Cambria" w:hAnsi="Cambria"/>
          <w:sz w:val="22"/>
          <w:szCs w:val="22"/>
        </w:rPr>
        <w:t xml:space="preserve"> </w:t>
      </w:r>
      <w:r>
        <w:rPr>
          <w:rFonts w:cs="Arial" w:ascii="Cambria" w:hAnsi="Cambria"/>
          <w:sz w:val="22"/>
          <w:szCs w:val="22"/>
        </w:rPr>
        <w:t>(maksymalny rozmiar załączników wynosi 50 MB).</w:t>
      </w:r>
    </w:p>
    <w:p>
      <w:pPr>
        <w:pStyle w:val="Normal"/>
        <w:numPr>
          <w:ilvl w:val="0"/>
          <w:numId w:val="1"/>
        </w:numPr>
        <w:spacing w:lineRule="auto" w:line="276" w:before="0" w:after="120"/>
        <w:jc w:val="both"/>
        <w:rPr/>
      </w:pPr>
      <w:r>
        <w:rPr>
          <w:rFonts w:cs="Arial" w:ascii="Cambria" w:hAnsi="Cambria"/>
          <w:b/>
          <w:sz w:val="22"/>
          <w:szCs w:val="22"/>
        </w:rPr>
        <w:t>WARUNKI UDZIAŁU W POSTĘPOWANIU</w:t>
      </w:r>
    </w:p>
    <w:p>
      <w:pPr>
        <w:pStyle w:val="Normal"/>
        <w:numPr>
          <w:ilvl w:val="0"/>
          <w:numId w:val="4"/>
        </w:numPr>
        <w:suppressAutoHyphens w:val="false"/>
        <w:spacing w:lineRule="auto" w:line="276" w:before="120" w:after="120"/>
        <w:jc w:val="both"/>
        <w:rPr/>
      </w:pPr>
      <w:r>
        <w:rPr>
          <w:rFonts w:cs="Arial" w:ascii="Cambria" w:hAnsi="Cambria"/>
          <w:sz w:val="22"/>
          <w:szCs w:val="22"/>
        </w:rPr>
        <w:t xml:space="preserve">W </w:t>
      </w:r>
      <w:r>
        <w:rPr>
          <w:rFonts w:cs="Arial" w:ascii="Cambria" w:hAnsi="Cambria"/>
          <w:bCs/>
          <w:sz w:val="22"/>
          <w:szCs w:val="22"/>
        </w:rPr>
        <w:t>postępowaniu</w:t>
      </w:r>
      <w:r>
        <w:rPr>
          <w:rFonts w:cs="Arial" w:ascii="Cambria" w:hAnsi="Cambria"/>
          <w:sz w:val="22"/>
          <w:szCs w:val="22"/>
        </w:rPr>
        <w:t xml:space="preserve"> mogą wziąć udział Wykonawcy którzy: </w:t>
      </w:r>
    </w:p>
    <w:p>
      <w:pPr>
        <w:pStyle w:val="Normal"/>
        <w:numPr>
          <w:ilvl w:val="1"/>
          <w:numId w:val="7"/>
        </w:numPr>
        <w:suppressAutoHyphens w:val="false"/>
        <w:spacing w:lineRule="auto" w:line="276" w:before="120" w:after="120"/>
        <w:ind w:hanging="431" w:left="970"/>
        <w:jc w:val="both"/>
        <w:rPr/>
      </w:pPr>
      <w:r>
        <w:rPr>
          <w:rFonts w:cs="Arial" w:ascii="Cambria" w:hAnsi="Cambria"/>
          <w:bCs/>
          <w:sz w:val="22"/>
          <w:szCs w:val="22"/>
        </w:rPr>
        <w:t xml:space="preserve"> </w:t>
      </w:r>
      <w:r>
        <w:rPr>
          <w:rFonts w:cs="Arial" w:ascii="Cambria" w:hAnsi="Cambria"/>
          <w:bCs/>
          <w:sz w:val="22"/>
          <w:szCs w:val="22"/>
        </w:rPr>
        <w:t>nie podlegają wykluczeniu,</w:t>
      </w:r>
    </w:p>
    <w:p>
      <w:pPr>
        <w:pStyle w:val="Normal"/>
        <w:numPr>
          <w:ilvl w:val="1"/>
          <w:numId w:val="7"/>
        </w:numPr>
        <w:suppressAutoHyphens w:val="false"/>
        <w:spacing w:lineRule="auto" w:line="276" w:before="120" w:after="120"/>
        <w:ind w:hanging="431" w:left="970"/>
        <w:jc w:val="both"/>
        <w:rPr/>
      </w:pPr>
      <w:r>
        <w:rPr>
          <w:rFonts w:cs="Arial" w:ascii="Cambria" w:hAnsi="Cambria"/>
          <w:bCs/>
          <w:sz w:val="22"/>
          <w:szCs w:val="22"/>
        </w:rPr>
        <w:t xml:space="preserve"> </w:t>
      </w:r>
      <w:r>
        <w:rPr>
          <w:rFonts w:cs="Arial" w:ascii="Cambria" w:hAnsi="Cambria"/>
          <w:bCs/>
          <w:sz w:val="22"/>
          <w:szCs w:val="22"/>
        </w:rPr>
        <w:t>spełniają następujące warunki udziału w postępowaniu:</w:t>
      </w:r>
    </w:p>
    <w:p>
      <w:pPr>
        <w:pStyle w:val="Normal"/>
        <w:numPr>
          <w:ilvl w:val="2"/>
          <w:numId w:val="7"/>
        </w:numPr>
        <w:suppressAutoHyphens w:val="false"/>
        <w:spacing w:lineRule="auto" w:line="276" w:before="120" w:after="120"/>
        <w:ind w:hanging="680" w:left="1417"/>
        <w:jc w:val="both"/>
        <w:rPr>
          <w:color w:val="000000"/>
        </w:rPr>
      </w:pPr>
      <w:bookmarkStart w:id="3" w:name="_Hlk100581616"/>
      <w:r>
        <w:rPr>
          <w:rFonts w:cs="Arial" w:ascii="Cambria" w:hAnsi="Cambria"/>
          <w:bCs/>
          <w:color w:val="000000"/>
          <w:sz w:val="22"/>
          <w:szCs w:val="22"/>
        </w:rPr>
        <w:t xml:space="preserve">posiadają wiedzę i doświadczenie wyrażające się zrealizowaniem w okresie ostatnich 5 lat przed upływem terminu składania ofert co najmniej 1 roboty budowlanej polegającej na budowie lub przebudowie lub rozbudowie lub modernizacji lub remoncie obiektów kubaturowych o wartości minimum 900 000,00 zł, </w:t>
      </w:r>
    </w:p>
    <w:p>
      <w:pPr>
        <w:pStyle w:val="Normal"/>
        <w:numPr>
          <w:ilvl w:val="2"/>
          <w:numId w:val="7"/>
        </w:numPr>
        <w:suppressAutoHyphens w:val="false"/>
        <w:spacing w:lineRule="auto" w:line="276" w:before="120" w:after="120"/>
        <w:ind w:hanging="680" w:left="1417"/>
        <w:jc w:val="both"/>
        <w:rPr>
          <w:color w:val="000000"/>
        </w:rPr>
      </w:pPr>
      <w:r>
        <w:rPr>
          <w:rFonts w:cs="Arial" w:ascii="Cambria" w:hAnsi="Cambria"/>
          <w:bCs/>
          <w:color w:val="000000"/>
          <w:sz w:val="22"/>
          <w:szCs w:val="22"/>
        </w:rPr>
        <w:t xml:space="preserve">dysponują osobami zdolnymi do wykonania zamówienia tj. </w:t>
      </w:r>
      <w:r>
        <w:rPr>
          <w:rFonts w:cs="Arial" w:ascii="Cambria" w:hAnsi="Cambria"/>
          <w:color w:val="000000"/>
          <w:sz w:val="22"/>
          <w:szCs w:val="22"/>
        </w:rPr>
        <w:t>kierownikiem budowy posiadającym:</w:t>
      </w:r>
    </w:p>
    <w:p>
      <w:pPr>
        <w:pStyle w:val="ListParagraph"/>
        <w:widowControl/>
        <w:numPr>
          <w:ilvl w:val="0"/>
          <w:numId w:val="37"/>
        </w:numPr>
        <w:suppressAutoHyphens w:val="false"/>
        <w:bidi w:val="0"/>
        <w:spacing w:lineRule="auto" w:line="276" w:before="120" w:after="120"/>
        <w:ind w:hanging="340" w:left="1871" w:right="0"/>
        <w:contextualSpacing/>
        <w:jc w:val="both"/>
        <w:rPr>
          <w:color w:val="000000"/>
        </w:rPr>
      </w:pPr>
      <w:r>
        <w:rPr>
          <w:rFonts w:cs="Arial" w:ascii="Cambria" w:hAnsi="Cambria"/>
          <w:color w:val="000000"/>
          <w:sz w:val="22"/>
          <w:szCs w:val="22"/>
        </w:rPr>
        <w:t>uprawnienia zawodowe do kierowania robotami budowlanymi w specjalności konstrukcyjno-budowlanej lub architektonicznej bez ograniczeń oraz</w:t>
      </w:r>
    </w:p>
    <w:p>
      <w:pPr>
        <w:pStyle w:val="ListParagraph"/>
        <w:widowControl/>
        <w:numPr>
          <w:ilvl w:val="0"/>
          <w:numId w:val="37"/>
        </w:numPr>
        <w:suppressAutoHyphens w:val="false"/>
        <w:bidi w:val="0"/>
        <w:spacing w:lineRule="auto" w:line="276" w:before="120" w:after="120"/>
        <w:ind w:hanging="340" w:left="1871" w:right="0"/>
        <w:contextualSpacing/>
        <w:jc w:val="both"/>
        <w:rPr>
          <w:color w:val="000000"/>
        </w:rPr>
      </w:pPr>
      <w:r>
        <w:rPr>
          <w:rFonts w:cs="Arial" w:ascii="Cambria" w:hAnsi="Cambria"/>
          <w:color w:val="000000"/>
          <w:sz w:val="22"/>
          <w:szCs w:val="22"/>
        </w:rPr>
        <w:t xml:space="preserve"> </w:t>
      </w:r>
      <w:r>
        <w:rPr>
          <w:rFonts w:cs="Arial" w:ascii="Cambria" w:hAnsi="Cambria"/>
          <w:bCs/>
          <w:color w:val="000000"/>
          <w:sz w:val="22"/>
          <w:szCs w:val="22"/>
        </w:rPr>
        <w:t xml:space="preserve">doświadczenie zawodowe polegające na kierowaniu co najmniej 1 robotą budowlaną polegającą na budowie lub przebudowie lub rozbudowie lub modernizacji lub remoncie obiektów kubaturowych, o wartości minimum 900 000,00 zł, </w:t>
      </w:r>
    </w:p>
    <w:p>
      <w:pPr>
        <w:pStyle w:val="Normal"/>
        <w:spacing w:lineRule="auto" w:line="276" w:before="120" w:after="0"/>
        <w:ind w:left="1404"/>
        <w:jc w:val="both"/>
        <w:rPr/>
      </w:pPr>
      <w:r>
        <w:rPr>
          <w:rFonts w:cs="Arial" w:ascii="Cambria" w:hAnsi="Cambria"/>
          <w:color w:themeColor="text1" w:val="000000"/>
          <w:sz w:val="22"/>
          <w:szCs w:val="22"/>
        </w:rPr>
        <w:t xml:space="preserve">W odniesieniu do powyższych wymagań stawianych kierownikowi budowy,  właściwe są uprawnienia budowlane wydawane po 1994 roku (tj. zgodne z wymogami </w:t>
      </w:r>
      <w:r>
        <w:rPr>
          <w:rFonts w:cs="Arial" w:ascii="Cambria" w:hAnsi="Cambria"/>
          <w:i/>
          <w:color w:themeColor="text1" w:val="000000"/>
          <w:sz w:val="22"/>
          <w:szCs w:val="22"/>
        </w:rPr>
        <w:t xml:space="preserve">ustawy Prawo budowlane (tekst pierwotny: Dz. U. 1994 r. Nr 89 poz. 414) </w:t>
      </w:r>
    </w:p>
    <w:p>
      <w:pPr>
        <w:pStyle w:val="Normal"/>
        <w:spacing w:lineRule="auto" w:line="276" w:before="120" w:after="0"/>
        <w:ind w:left="1404"/>
        <w:jc w:val="both"/>
        <w:rPr/>
      </w:pPr>
      <w:r>
        <w:rPr>
          <w:rFonts w:cs="Arial" w:ascii="Cambria" w:hAnsi="Cambria"/>
          <w:bCs/>
          <w:color w:themeColor="text1" w:val="000000"/>
          <w:sz w:val="22"/>
          <w:szCs w:val="22"/>
        </w:rPr>
        <w:t xml:space="preserve">Funkcje </w:t>
      </w:r>
      <w:r>
        <w:rPr>
          <w:rFonts w:cs="Arial" w:ascii="Cambria" w:hAnsi="Cambria"/>
          <w:color w:themeColor="text1" w:val="000000"/>
          <w:sz w:val="22"/>
          <w:szCs w:val="22"/>
        </w:rPr>
        <w:t xml:space="preserve">kierownika budowy </w:t>
      </w:r>
      <w:r>
        <w:rPr>
          <w:rFonts w:cs="Arial" w:ascii="Cambria" w:hAnsi="Cambria"/>
          <w:bCs/>
          <w:sz w:val="22"/>
          <w:szCs w:val="22"/>
        </w:rPr>
        <w:t>mogą również wykonywać osoby posiadające ważne uprawnienia budowlane wydane na podstawie obowiązujących przed 01.01.1995 r. właściwych przepisów jeżeli uprawnienia te, pozwalają na wykonywanie przy realizacji przedmiotu zamówienia funkcji o wymienionej w pkt. 1.2.2.</w:t>
      </w:r>
    </w:p>
    <w:p>
      <w:pPr>
        <w:pStyle w:val="Normal"/>
        <w:spacing w:lineRule="auto" w:line="276" w:before="120" w:after="0"/>
        <w:ind w:left="1404"/>
        <w:jc w:val="both"/>
        <w:rPr/>
      </w:pPr>
      <w:r>
        <w:rPr>
          <w:rFonts w:cs="Arial" w:ascii="Cambria" w:hAnsi="Cambria"/>
          <w:bCs/>
          <w:sz w:val="22"/>
          <w:szCs w:val="22"/>
        </w:rPr>
        <w:t xml:space="preserve">Funkcje </w:t>
      </w:r>
      <w:r>
        <w:rPr>
          <w:rFonts w:cs="Arial" w:ascii="Cambria" w:hAnsi="Cambria"/>
          <w:color w:themeColor="text1" w:val="000000"/>
          <w:sz w:val="22"/>
          <w:szCs w:val="22"/>
        </w:rPr>
        <w:t xml:space="preserve">kierownika budowy </w:t>
      </w:r>
      <w:r>
        <w:rPr>
          <w:rFonts w:cs="Arial" w:ascii="Cambria" w:hAnsi="Cambria"/>
          <w:bCs/>
          <w:color w:themeColor="text1" w:val="000000"/>
          <w:sz w:val="22"/>
          <w:szCs w:val="22"/>
        </w:rPr>
        <w:t xml:space="preserve">mogą również wykonywać osoby, których odpowiednie kwalifikacje zawodowe zostały uznane na zasadach określonych </w:t>
      </w:r>
      <w:r>
        <w:rPr>
          <w:rFonts w:cs="Arial" w:ascii="Cambria" w:hAnsi="Cambria"/>
          <w:bCs/>
          <w:i/>
          <w:color w:themeColor="text1" w:val="000000"/>
          <w:sz w:val="22"/>
          <w:szCs w:val="22"/>
        </w:rPr>
        <w:t xml:space="preserve">ustawą z dnia 22 grudnia 2015 r. o zasadach uznawania kwalifikacji zawodowych nabytych w państwach członkowskich Unii Europejskiej . </w:t>
      </w:r>
    </w:p>
    <w:p>
      <w:pPr>
        <w:pStyle w:val="Normal"/>
        <w:spacing w:lineRule="auto" w:line="276" w:before="120" w:after="0"/>
        <w:ind w:left="1404"/>
        <w:jc w:val="both"/>
        <w:rPr/>
      </w:pPr>
      <w:r>
        <w:rPr>
          <w:rFonts w:cs="Arial" w:ascii="Cambria" w:hAnsi="Cambria"/>
          <w:bCs/>
          <w:color w:themeColor="text1" w:val="000000"/>
          <w:sz w:val="22"/>
          <w:szCs w:val="22"/>
        </w:rPr>
        <w:t xml:space="preserve">Kierownik budowy powinien posiadać biegłą znajomość języka polskiego. Zamawiający dopuszcza </w:t>
      </w:r>
      <w:r>
        <w:rPr>
          <w:rFonts w:cs="Arial" w:ascii="Cambria" w:hAnsi="Cambria"/>
          <w:bCs/>
          <w:sz w:val="22"/>
          <w:szCs w:val="22"/>
        </w:rPr>
        <w:t>zmianę tego wymogu wyłącznie w przypadku, gdy Wykonawca na własny koszt zapewni tłumacza języka polskiego, który zapewni stałe i biegłe tłumaczenie w kontaktach pomiędzy Zamawiającym, a personelem Wykonawcy, a także zapewni tłumaczenie na bieżąco wszystkich dokumentów związanych z realizacją przedmiotowego zamówienia, stworzonych zarówno przez Wykonawcę, jak i dostarczonych przez Zamawiającego. Wykonawca zatrudniając tłumacza winien wziąć pod uwagę, iż z uwagi na złożony zakres przedmiotu zamówienia, tłumacz ten winien być biegły w bezbłędnym i jednoznacznym tłumaczeniu zagadnień technicznych oraz zagadnień ekonomicznych i prawnych w zakresie niezbędnym do prawidłowej realizacji przedmiotu zamówienia.</w:t>
      </w:r>
    </w:p>
    <w:p>
      <w:pPr>
        <w:pStyle w:val="Normal"/>
        <w:tabs>
          <w:tab w:val="clear" w:pos="708"/>
          <w:tab w:val="left" w:pos="792" w:leader="none"/>
          <w:tab w:val="left" w:pos="851" w:leader="none"/>
        </w:tabs>
        <w:spacing w:lineRule="auto" w:line="276"/>
        <w:ind w:left="1404"/>
        <w:jc w:val="both"/>
        <w:rPr/>
      </w:pPr>
      <w:r>
        <w:rPr>
          <w:rFonts w:cs="Arial" w:ascii="Cambria" w:hAnsi="Cambria"/>
          <w:bCs/>
          <w:sz w:val="22"/>
          <w:szCs w:val="22"/>
        </w:rPr>
        <w:t xml:space="preserve">W przypadku kwot w walutach obcych dla potwierdzenia spełnienia, któregokolwiek z warunków wymienionych w ust. 1.2, Zamawiający dokona przeliczenia tej waluty na PLN wg średniego bieżącego kursu wyliczonego </w:t>
        <w:br/>
        <w:t xml:space="preserve">i ogłoszonego przez Narodowy Bank Polski z dnia zakończenia świadczenia tych robót budowlanych lub prac projektowych. Kursy walut dostępne są pod następującym adresem internetowym:  </w:t>
      </w:r>
      <w:hyperlink r:id="rId6">
        <w:r>
          <w:rPr>
            <w:rStyle w:val="Style8"/>
            <w:rFonts w:cs="Arial" w:ascii="Cambria" w:hAnsi="Cambria"/>
            <w:bCs/>
            <w:sz w:val="22"/>
            <w:szCs w:val="22"/>
            <w:u w:val="single"/>
          </w:rPr>
          <w:t>http://www.nbp.pl/</w:t>
        </w:r>
      </w:hyperlink>
      <w:r>
        <w:rPr>
          <w:rFonts w:cs="Arial" w:ascii="Cambria" w:hAnsi="Cambria"/>
          <w:bCs/>
          <w:sz w:val="22"/>
          <w:szCs w:val="22"/>
        </w:rPr>
        <w:t xml:space="preserve"> . Jeżeli dla potrzeby oceny spełniania warunków udziału w postępowaniu, Zamawiający będzie dokonywał przeliczenia na PLN kwot w walutach obcych wg średniego bieżącego kursu wyliczonego i ogłoszonego przez Narodowy Bank Polski, jeżeli na dzień wskazany wyżej jako moment dokonania przeliczenia, kurs stanowiący podstawę przeliczenia nie zostanie przez NBP opublikowany, podstawą przeliczenia będzie kurs NPB opublikowany w dniu najbliższej publikacji mającej miejsce po dniu o którym mowa wyżej </w:t>
      </w:r>
    </w:p>
    <w:p>
      <w:pPr>
        <w:pStyle w:val="Normal"/>
        <w:numPr>
          <w:ilvl w:val="0"/>
          <w:numId w:val="32"/>
        </w:numPr>
        <w:suppressAutoHyphens w:val="false"/>
        <w:spacing w:lineRule="auto" w:line="276" w:before="120" w:after="120"/>
        <w:jc w:val="both"/>
        <w:rPr/>
      </w:pPr>
      <w:r>
        <w:rPr>
          <w:rFonts w:cs="Arial" w:ascii="Cambria" w:hAnsi="Cambria"/>
          <w:sz w:val="22"/>
          <w:szCs w:val="22"/>
        </w:rPr>
        <w:t>Zamawiający</w:t>
      </w:r>
      <w:r>
        <w:rPr>
          <w:rFonts w:cs="Arial" w:ascii="Cambria" w:hAnsi="Cambria"/>
          <w:bCs/>
          <w:sz w:val="22"/>
          <w:szCs w:val="22"/>
        </w:rPr>
        <w:t xml:space="preserve"> wykluczy z postępowania Wykonawcę</w:t>
      </w:r>
      <w:r>
        <w:rPr>
          <w:rFonts w:cs="Arial" w:ascii="Cambria" w:hAnsi="Cambria"/>
          <w:sz w:val="22"/>
          <w:szCs w:val="22"/>
        </w:rPr>
        <w:t>:</w:t>
      </w:r>
    </w:p>
    <w:p>
      <w:pPr>
        <w:pStyle w:val="Normal"/>
        <w:numPr>
          <w:ilvl w:val="1"/>
          <w:numId w:val="32"/>
        </w:numPr>
        <w:suppressAutoHyphens w:val="false"/>
        <w:spacing w:lineRule="auto" w:line="276" w:before="120" w:after="120"/>
        <w:jc w:val="both"/>
        <w:rPr/>
      </w:pPr>
      <w:r>
        <w:rPr>
          <w:rFonts w:cs="Arial" w:ascii="Cambria" w:hAnsi="Cambria"/>
          <w:sz w:val="22"/>
          <w:szCs w:val="22"/>
        </w:rPr>
        <w:t>będącego osobą fizyczną, którego prawomocnie skazano za przestępstwo:</w:t>
      </w:r>
    </w:p>
    <w:p>
      <w:pPr>
        <w:pStyle w:val="Normal"/>
        <w:shd w:val="clear" w:color="auto" w:fill="FFFFFF"/>
        <w:tabs>
          <w:tab w:val="left" w:pos="708" w:leader="none"/>
        </w:tabs>
        <w:spacing w:lineRule="auto" w:line="276" w:before="120" w:after="120"/>
        <w:ind w:left="972"/>
        <w:contextualSpacing/>
        <w:jc w:val="both"/>
        <w:rPr/>
      </w:pPr>
      <w:r>
        <w:rPr>
          <w:rFonts w:eastAsia="Lucida Sans Unicode" w:cs="Arial" w:ascii="Cambria" w:hAnsi="Cambria"/>
          <w:sz w:val="22"/>
          <w:szCs w:val="22"/>
          <w:lang w:eastAsia="pl-PL"/>
        </w:rPr>
        <w:t xml:space="preserve">a) udziału w zorganizowanej grupie przestępczej albo związku mającym na celu popełnienie przestępstwa lub przestępstwa skarbowego, o którym mowa w </w:t>
      </w:r>
      <w:r>
        <w:fldChar w:fldCharType="begin"/>
      </w:r>
      <w:r>
        <w:rPr>
          <w:rStyle w:val="Style8"/>
          <w:sz w:val="22"/>
          <w:u w:val="single"/>
          <w:szCs w:val="22"/>
          <w:rFonts w:eastAsia="Lucida Sans Unicode" w:cs="Arial" w:ascii="Cambria" w:hAnsi="Cambria"/>
          <w:lang w:eastAsia="pl-PL"/>
        </w:rPr>
        <w:instrText xml:space="preserve"> HYPERLINK "https://sip.lex.pl/" \l "/document/16798683?unitId=art(258)&amp;cm=DOCUMENT"</w:instrText>
      </w:r>
      <w:r>
        <w:rPr>
          <w:rStyle w:val="Style8"/>
          <w:sz w:val="22"/>
          <w:u w:val="single"/>
          <w:szCs w:val="22"/>
          <w:rFonts w:eastAsia="Lucida Sans Unicode" w:cs="Arial" w:ascii="Cambria" w:hAnsi="Cambria"/>
          <w:lang w:eastAsia="pl-PL"/>
        </w:rPr>
        <w:fldChar w:fldCharType="separate"/>
      </w:r>
      <w:r>
        <w:rPr>
          <w:rStyle w:val="Style8"/>
          <w:rFonts w:eastAsia="Lucida Sans Unicode" w:cs="Arial" w:ascii="Cambria" w:hAnsi="Cambria"/>
          <w:sz w:val="22"/>
          <w:szCs w:val="22"/>
          <w:u w:val="single"/>
          <w:lang w:eastAsia="pl-PL"/>
        </w:rPr>
        <w:t>art. 258</w:t>
      </w:r>
      <w:r>
        <w:rPr>
          <w:rStyle w:val="Style8"/>
          <w:sz w:val="22"/>
          <w:u w:val="single"/>
          <w:szCs w:val="22"/>
          <w:rFonts w:eastAsia="Lucida Sans Unicode" w:cs="Arial" w:ascii="Cambria" w:hAnsi="Cambria"/>
          <w:lang w:eastAsia="pl-PL"/>
        </w:rPr>
        <w:fldChar w:fldCharType="end"/>
      </w:r>
      <w:r>
        <w:rPr>
          <w:rFonts w:eastAsia="Lucida Sans Unicode" w:cs="Arial" w:ascii="Cambria" w:hAnsi="Cambria"/>
          <w:sz w:val="22"/>
          <w:szCs w:val="22"/>
          <w:lang w:eastAsia="pl-PL"/>
        </w:rPr>
        <w:t xml:space="preserve"> Kodeksu karnego,</w:t>
      </w:r>
    </w:p>
    <w:p>
      <w:pPr>
        <w:pStyle w:val="Normal"/>
        <w:shd w:val="clear" w:color="auto" w:fill="FFFFFF"/>
        <w:tabs>
          <w:tab w:val="left" w:pos="708" w:leader="none"/>
        </w:tabs>
        <w:spacing w:lineRule="auto" w:line="276" w:before="120" w:after="120"/>
        <w:ind w:left="972"/>
        <w:contextualSpacing/>
        <w:jc w:val="both"/>
        <w:rPr/>
      </w:pPr>
      <w:r>
        <w:rPr>
          <w:rFonts w:eastAsia="Lucida Sans Unicode" w:cs="Arial" w:ascii="Cambria" w:hAnsi="Cambria"/>
          <w:sz w:val="22"/>
          <w:szCs w:val="22"/>
          <w:lang w:eastAsia="pl-PL"/>
        </w:rPr>
        <w:t xml:space="preserve">b) handlu ludźmi, o którym mowa w </w:t>
      </w:r>
      <w:r>
        <w:fldChar w:fldCharType="begin"/>
      </w:r>
      <w:r>
        <w:rPr>
          <w:rStyle w:val="Style8"/>
          <w:sz w:val="22"/>
          <w:u w:val="single"/>
          <w:szCs w:val="22"/>
          <w:rFonts w:eastAsia="Lucida Sans Unicode" w:cs="Arial" w:ascii="Cambria" w:hAnsi="Cambria"/>
          <w:lang w:eastAsia="pl-PL"/>
        </w:rPr>
        <w:instrText xml:space="preserve"> HYPERLINK "https://sip.lex.pl/" \l "/document/16798683?unitId=art(189(a))&amp;cm=DOCUMENT"</w:instrText>
      </w:r>
      <w:r>
        <w:rPr>
          <w:rStyle w:val="Style8"/>
          <w:sz w:val="22"/>
          <w:u w:val="single"/>
          <w:szCs w:val="22"/>
          <w:rFonts w:eastAsia="Lucida Sans Unicode" w:cs="Arial" w:ascii="Cambria" w:hAnsi="Cambria"/>
          <w:lang w:eastAsia="pl-PL"/>
        </w:rPr>
        <w:fldChar w:fldCharType="separate"/>
      </w:r>
      <w:r>
        <w:rPr>
          <w:rStyle w:val="Style8"/>
          <w:rFonts w:eastAsia="Lucida Sans Unicode" w:cs="Arial" w:ascii="Cambria" w:hAnsi="Cambria"/>
          <w:sz w:val="22"/>
          <w:szCs w:val="22"/>
          <w:u w:val="single"/>
          <w:lang w:eastAsia="pl-PL"/>
        </w:rPr>
        <w:t>art. 189a</w:t>
      </w:r>
      <w:r>
        <w:rPr>
          <w:rStyle w:val="Style8"/>
          <w:sz w:val="22"/>
          <w:u w:val="single"/>
          <w:szCs w:val="22"/>
          <w:rFonts w:eastAsia="Lucida Sans Unicode" w:cs="Arial" w:ascii="Cambria" w:hAnsi="Cambria"/>
          <w:lang w:eastAsia="pl-PL"/>
        </w:rPr>
        <w:fldChar w:fldCharType="end"/>
      </w:r>
      <w:r>
        <w:rPr>
          <w:rFonts w:eastAsia="Lucida Sans Unicode" w:cs="Arial" w:ascii="Cambria" w:hAnsi="Cambria"/>
          <w:sz w:val="22"/>
          <w:szCs w:val="22"/>
          <w:lang w:eastAsia="pl-PL"/>
        </w:rPr>
        <w:t xml:space="preserve"> Kodeksu karnego,</w:t>
      </w:r>
    </w:p>
    <w:p>
      <w:pPr>
        <w:pStyle w:val="Normal"/>
        <w:shd w:val="clear" w:color="auto" w:fill="FFFFFF"/>
        <w:tabs>
          <w:tab w:val="left" w:pos="708" w:leader="none"/>
        </w:tabs>
        <w:spacing w:lineRule="auto" w:line="276" w:before="120" w:after="120"/>
        <w:ind w:left="972"/>
        <w:contextualSpacing/>
        <w:jc w:val="both"/>
        <w:rPr/>
      </w:pPr>
      <w:r>
        <w:rPr>
          <w:rFonts w:eastAsia="Lucida Sans Unicode" w:cs="Arial" w:ascii="Cambria" w:hAnsi="Cambria"/>
          <w:sz w:val="22"/>
          <w:szCs w:val="22"/>
          <w:lang w:eastAsia="pl-PL"/>
        </w:rPr>
        <w:t>c)</w:t>
      </w:r>
      <w:r>
        <w:rPr>
          <w:rFonts w:eastAsia="Lucida Sans Unicode" w:ascii="Cambria" w:hAnsi="Cambria"/>
          <w:sz w:val="24"/>
          <w:szCs w:val="24"/>
          <w:lang w:eastAsia="pl-PL"/>
        </w:rPr>
        <w:t xml:space="preserve"> </w:t>
      </w:r>
      <w:r>
        <w:rPr>
          <w:rFonts w:eastAsia="Lucida Sans Unicode" w:ascii="Cambria" w:hAnsi="Cambria"/>
          <w:sz w:val="22"/>
          <w:szCs w:val="22"/>
          <w:lang w:eastAsia="pl-PL"/>
        </w:rPr>
        <w:t>o którym mowa w art. 228–230a, art. 250a Kodeksu karnego, w art. 46– 48 ustawy z dnia 25 czerwca 2010 r. o sporcie (Dz. U. z 2023 r. poz. 2048 oraz z 2024 r. poz. 1166) lub w art. 54 ust. 1–4 ustawy z dnia 12 maja 2011 r. o refundacji leków, środków spożywczych specjalnego przeznaczenia żywieniowego oraz wyrobów medycznych (Dz. U. z 2024 r. poz. 930)</w:t>
      </w:r>
      <w:r>
        <w:rPr>
          <w:rFonts w:eastAsia="Lucida Sans Unicode" w:cs="Arial" w:ascii="Cambria" w:hAnsi="Cambria"/>
          <w:sz w:val="22"/>
          <w:szCs w:val="22"/>
          <w:lang w:eastAsia="pl-PL"/>
        </w:rPr>
        <w:t>,</w:t>
      </w:r>
    </w:p>
    <w:p>
      <w:pPr>
        <w:pStyle w:val="Normal"/>
        <w:shd w:val="clear" w:color="auto" w:fill="FFFFFF"/>
        <w:tabs>
          <w:tab w:val="left" w:pos="708" w:leader="none"/>
        </w:tabs>
        <w:spacing w:lineRule="auto" w:line="276" w:before="120" w:after="120"/>
        <w:ind w:left="972"/>
        <w:contextualSpacing/>
        <w:jc w:val="both"/>
        <w:rPr/>
      </w:pPr>
      <w:r>
        <w:rPr>
          <w:rFonts w:eastAsia="Lucida Sans Unicode" w:cs="Arial" w:ascii="Cambria" w:hAnsi="Cambria"/>
          <w:sz w:val="22"/>
          <w:szCs w:val="22"/>
          <w:lang w:eastAsia="pl-PL"/>
        </w:rPr>
        <w:t xml:space="preserve">d) finansowania przestępstwa o charakterze terrorystycznym, o którym mowa w </w:t>
      </w:r>
      <w:r>
        <w:fldChar w:fldCharType="begin"/>
      </w:r>
      <w:r>
        <w:rPr>
          <w:rStyle w:val="Style8"/>
          <w:sz w:val="22"/>
          <w:u w:val="single"/>
          <w:szCs w:val="22"/>
          <w:rFonts w:eastAsia="Lucida Sans Unicode" w:cs="Arial" w:ascii="Cambria" w:hAnsi="Cambria"/>
          <w:lang w:eastAsia="pl-PL"/>
        </w:rPr>
        <w:instrText xml:space="preserve"> HYPERLINK "https://sip.lex.pl/" \l "/document/16798683?unitId=art(165(a))&amp;cm=DOCUMENT"</w:instrText>
      </w:r>
      <w:r>
        <w:rPr>
          <w:rStyle w:val="Style8"/>
          <w:sz w:val="22"/>
          <w:u w:val="single"/>
          <w:szCs w:val="22"/>
          <w:rFonts w:eastAsia="Lucida Sans Unicode" w:cs="Arial" w:ascii="Cambria" w:hAnsi="Cambria"/>
          <w:lang w:eastAsia="pl-PL"/>
        </w:rPr>
        <w:fldChar w:fldCharType="separate"/>
      </w:r>
      <w:r>
        <w:rPr>
          <w:rStyle w:val="Style8"/>
          <w:rFonts w:eastAsia="Lucida Sans Unicode" w:cs="Arial" w:ascii="Cambria" w:hAnsi="Cambria"/>
          <w:sz w:val="22"/>
          <w:szCs w:val="22"/>
          <w:u w:val="single"/>
          <w:lang w:eastAsia="pl-PL"/>
        </w:rPr>
        <w:t>art. 165a</w:t>
      </w:r>
      <w:r>
        <w:rPr>
          <w:rStyle w:val="Style8"/>
          <w:sz w:val="22"/>
          <w:u w:val="single"/>
          <w:szCs w:val="22"/>
          <w:rFonts w:eastAsia="Lucida Sans Unicode" w:cs="Arial" w:ascii="Cambria" w:hAnsi="Cambria"/>
          <w:lang w:eastAsia="pl-PL"/>
        </w:rPr>
        <w:fldChar w:fldCharType="end"/>
      </w:r>
      <w:r>
        <w:rPr>
          <w:rFonts w:eastAsia="Lucida Sans Unicode" w:cs="Arial" w:ascii="Cambria" w:hAnsi="Cambria"/>
          <w:sz w:val="22"/>
          <w:szCs w:val="22"/>
          <w:lang w:eastAsia="pl-PL"/>
        </w:rPr>
        <w:t xml:space="preserve"> Kodeksu karnego, lub przestępstwo udaremniania lub utrudniania stwierdzenia przestępnego pochodzenia pieniędzy lub ukrywania ich pochodzenia, o którym mowa w </w:t>
      </w:r>
      <w:r>
        <w:fldChar w:fldCharType="begin"/>
      </w:r>
      <w:r>
        <w:rPr>
          <w:rStyle w:val="Style8"/>
          <w:sz w:val="22"/>
          <w:u w:val="single"/>
          <w:szCs w:val="22"/>
          <w:rFonts w:eastAsia="Lucida Sans Unicode" w:cs="Arial" w:ascii="Cambria" w:hAnsi="Cambria"/>
          <w:lang w:eastAsia="pl-PL"/>
        </w:rPr>
        <w:instrText xml:space="preserve"> HYPERLINK "https://sip.lex.pl/" \l "/document/16798683?unitId=art(299)&amp;cm=DOCUMENT"</w:instrText>
      </w:r>
      <w:r>
        <w:rPr>
          <w:rStyle w:val="Style8"/>
          <w:sz w:val="22"/>
          <w:u w:val="single"/>
          <w:szCs w:val="22"/>
          <w:rFonts w:eastAsia="Lucida Sans Unicode" w:cs="Arial" w:ascii="Cambria" w:hAnsi="Cambria"/>
          <w:lang w:eastAsia="pl-PL"/>
        </w:rPr>
        <w:fldChar w:fldCharType="separate"/>
      </w:r>
      <w:r>
        <w:rPr>
          <w:rStyle w:val="Style8"/>
          <w:rFonts w:eastAsia="Lucida Sans Unicode" w:cs="Arial" w:ascii="Cambria" w:hAnsi="Cambria"/>
          <w:sz w:val="22"/>
          <w:szCs w:val="22"/>
          <w:u w:val="single"/>
          <w:lang w:eastAsia="pl-PL"/>
        </w:rPr>
        <w:t>art. 299</w:t>
      </w:r>
      <w:r>
        <w:rPr>
          <w:rStyle w:val="Style8"/>
          <w:sz w:val="22"/>
          <w:u w:val="single"/>
          <w:szCs w:val="22"/>
          <w:rFonts w:eastAsia="Lucida Sans Unicode" w:cs="Arial" w:ascii="Cambria" w:hAnsi="Cambria"/>
          <w:lang w:eastAsia="pl-PL"/>
        </w:rPr>
        <w:fldChar w:fldCharType="end"/>
      </w:r>
      <w:r>
        <w:rPr>
          <w:rFonts w:eastAsia="Lucida Sans Unicode" w:cs="Arial" w:ascii="Cambria" w:hAnsi="Cambria"/>
          <w:sz w:val="22"/>
          <w:szCs w:val="22"/>
          <w:lang w:eastAsia="pl-PL"/>
        </w:rPr>
        <w:t xml:space="preserve"> Kodeksu karnego,</w:t>
      </w:r>
    </w:p>
    <w:p>
      <w:pPr>
        <w:pStyle w:val="Normal"/>
        <w:shd w:val="clear" w:color="auto" w:fill="FFFFFF"/>
        <w:tabs>
          <w:tab w:val="left" w:pos="708" w:leader="none"/>
        </w:tabs>
        <w:spacing w:lineRule="auto" w:line="276" w:before="120" w:after="120"/>
        <w:ind w:left="972"/>
        <w:contextualSpacing/>
        <w:jc w:val="both"/>
        <w:rPr/>
      </w:pPr>
      <w:r>
        <w:rPr>
          <w:rFonts w:eastAsia="Lucida Sans Unicode" w:cs="Arial" w:ascii="Cambria" w:hAnsi="Cambria"/>
          <w:sz w:val="22"/>
          <w:szCs w:val="22"/>
          <w:lang w:eastAsia="pl-PL"/>
        </w:rPr>
        <w:t xml:space="preserve">e) o charakterze terrorystycznym, o którym mowa w </w:t>
      </w:r>
      <w:r>
        <w:fldChar w:fldCharType="begin"/>
      </w:r>
      <w:r>
        <w:rPr>
          <w:rStyle w:val="Style8"/>
          <w:sz w:val="22"/>
          <w:u w:val="single"/>
          <w:szCs w:val="22"/>
          <w:rFonts w:eastAsia="Lucida Sans Unicode" w:cs="Arial" w:ascii="Cambria" w:hAnsi="Cambria"/>
          <w:lang w:eastAsia="pl-PL"/>
        </w:rPr>
        <w:instrText xml:space="preserve"> HYPERLINK "https://sip.lex.pl/" \l "/document/16798683?unitId=art(115)par(20)&amp;cm=DOCUMENT"</w:instrText>
      </w:r>
      <w:r>
        <w:rPr>
          <w:rStyle w:val="Style8"/>
          <w:sz w:val="22"/>
          <w:u w:val="single"/>
          <w:szCs w:val="22"/>
          <w:rFonts w:eastAsia="Lucida Sans Unicode" w:cs="Arial" w:ascii="Cambria" w:hAnsi="Cambria"/>
          <w:lang w:eastAsia="pl-PL"/>
        </w:rPr>
        <w:fldChar w:fldCharType="separate"/>
      </w:r>
      <w:r>
        <w:rPr>
          <w:rStyle w:val="Style8"/>
          <w:rFonts w:eastAsia="Lucida Sans Unicode" w:cs="Arial" w:ascii="Cambria" w:hAnsi="Cambria"/>
          <w:sz w:val="22"/>
          <w:szCs w:val="22"/>
          <w:u w:val="single"/>
          <w:lang w:eastAsia="pl-PL"/>
        </w:rPr>
        <w:t>art. 115 § 20</w:t>
      </w:r>
      <w:r>
        <w:rPr>
          <w:rStyle w:val="Style8"/>
          <w:sz w:val="22"/>
          <w:u w:val="single"/>
          <w:szCs w:val="22"/>
          <w:rFonts w:eastAsia="Lucida Sans Unicode" w:cs="Arial" w:ascii="Cambria" w:hAnsi="Cambria"/>
          <w:lang w:eastAsia="pl-PL"/>
        </w:rPr>
        <w:fldChar w:fldCharType="end"/>
      </w:r>
      <w:r>
        <w:rPr>
          <w:rFonts w:eastAsia="Lucida Sans Unicode" w:cs="Arial" w:ascii="Cambria" w:hAnsi="Cambria"/>
          <w:sz w:val="22"/>
          <w:szCs w:val="22"/>
          <w:lang w:eastAsia="pl-PL"/>
        </w:rPr>
        <w:t xml:space="preserve"> Kodeksu karnego, lub mające na celu popełnienie tego przestępstwa,</w:t>
      </w:r>
    </w:p>
    <w:p>
      <w:pPr>
        <w:pStyle w:val="Normal"/>
        <w:shd w:val="clear" w:color="auto" w:fill="FFFFFF"/>
        <w:tabs>
          <w:tab w:val="left" w:pos="708" w:leader="none"/>
        </w:tabs>
        <w:spacing w:lineRule="auto" w:line="276" w:before="120" w:after="120"/>
        <w:ind w:left="972"/>
        <w:contextualSpacing/>
        <w:jc w:val="both"/>
        <w:rPr/>
      </w:pPr>
      <w:r>
        <w:rPr>
          <w:rFonts w:eastAsia="Lucida Sans Unicode" w:cs="Arial" w:ascii="Cambria" w:hAnsi="Cambria"/>
          <w:sz w:val="22"/>
          <w:szCs w:val="22"/>
          <w:lang w:eastAsia="pl-PL"/>
        </w:rPr>
        <w:t>f) </w:t>
      </w:r>
      <w:r>
        <w:rPr>
          <w:rFonts w:eastAsia="Lucida Sans Unicode" w:ascii="Cambria" w:hAnsi="Cambria"/>
          <w:sz w:val="22"/>
          <w:szCs w:val="22"/>
          <w:lang w:eastAsia="pl-PL"/>
        </w:rPr>
        <w:t>powierzenia wykonywania pracy małoletniemu cudzoziemcowi, o którym mowa w art. 9 ust. 2 ustawy z dnia 15 czerwca 2012 r. o skutkach powierzania wykonywania pracy cudzoziemcom przebywającym wbrew przepisom na terytorium Rzeczypospolitej Polskiej (Dz. U. z 2021 r. poz. 1745)</w:t>
      </w:r>
      <w:r>
        <w:rPr>
          <w:rFonts w:eastAsia="Lucida Sans Unicode" w:cs="Arial" w:ascii="Cambria" w:hAnsi="Cambria"/>
          <w:sz w:val="22"/>
          <w:szCs w:val="22"/>
          <w:lang w:eastAsia="pl-PL"/>
        </w:rPr>
        <w:t>),</w:t>
      </w:r>
    </w:p>
    <w:p>
      <w:pPr>
        <w:pStyle w:val="Normal"/>
        <w:shd w:val="clear" w:color="auto" w:fill="FFFFFF"/>
        <w:tabs>
          <w:tab w:val="left" w:pos="708" w:leader="none"/>
        </w:tabs>
        <w:spacing w:lineRule="auto" w:line="276" w:before="120" w:after="120"/>
        <w:ind w:left="972"/>
        <w:contextualSpacing/>
        <w:jc w:val="both"/>
        <w:rPr/>
      </w:pPr>
      <w:r>
        <w:rPr>
          <w:rFonts w:eastAsia="Lucida Sans Unicode" w:cs="Arial" w:ascii="Cambria" w:hAnsi="Cambria"/>
          <w:sz w:val="22"/>
          <w:szCs w:val="22"/>
          <w:lang w:eastAsia="pl-PL"/>
        </w:rPr>
        <w:t xml:space="preserve">g) przeciwko obrotowi gospodarczemu, o których mowa w </w:t>
      </w:r>
      <w:r>
        <w:fldChar w:fldCharType="begin"/>
      </w:r>
      <w:r>
        <w:rPr>
          <w:rStyle w:val="Style8"/>
          <w:sz w:val="22"/>
          <w:u w:val="single"/>
          <w:szCs w:val="22"/>
          <w:rFonts w:eastAsia="Lucida Sans Unicode" w:cs="Arial" w:ascii="Cambria" w:hAnsi="Cambria"/>
          <w:lang w:eastAsia="pl-PL"/>
        </w:rPr>
        <w:instrText xml:space="preserve"> HYPERLINK "https://sip.lex.pl/" \l "/document/16798683?unitId=art(296)&amp;cm=DOCUMENT"</w:instrText>
      </w:r>
      <w:r>
        <w:rPr>
          <w:rStyle w:val="Style8"/>
          <w:sz w:val="22"/>
          <w:u w:val="single"/>
          <w:szCs w:val="22"/>
          <w:rFonts w:eastAsia="Lucida Sans Unicode" w:cs="Arial" w:ascii="Cambria" w:hAnsi="Cambria"/>
          <w:lang w:eastAsia="pl-PL"/>
        </w:rPr>
        <w:fldChar w:fldCharType="separate"/>
      </w:r>
      <w:r>
        <w:rPr>
          <w:rStyle w:val="Style8"/>
          <w:rFonts w:eastAsia="Lucida Sans Unicode" w:cs="Arial" w:ascii="Cambria" w:hAnsi="Cambria"/>
          <w:sz w:val="22"/>
          <w:szCs w:val="22"/>
          <w:u w:val="single"/>
          <w:lang w:eastAsia="pl-PL"/>
        </w:rPr>
        <w:t>art. 296-307</w:t>
      </w:r>
      <w:r>
        <w:rPr>
          <w:rStyle w:val="Style8"/>
          <w:sz w:val="22"/>
          <w:u w:val="single"/>
          <w:szCs w:val="22"/>
          <w:rFonts w:eastAsia="Lucida Sans Unicode" w:cs="Arial" w:ascii="Cambria" w:hAnsi="Cambria"/>
          <w:lang w:eastAsia="pl-PL"/>
        </w:rPr>
        <w:fldChar w:fldCharType="end"/>
      </w:r>
      <w:r>
        <w:rPr>
          <w:rFonts w:eastAsia="Lucida Sans Unicode" w:cs="Arial" w:ascii="Cambria" w:hAnsi="Cambria"/>
          <w:sz w:val="22"/>
          <w:szCs w:val="22"/>
          <w:lang w:eastAsia="pl-PL"/>
        </w:rPr>
        <w:t xml:space="preserve"> Kodeksu karnego, przestępstwo oszustwa, o którym mowa w </w:t>
      </w:r>
      <w:r>
        <w:fldChar w:fldCharType="begin"/>
      </w:r>
      <w:r>
        <w:rPr>
          <w:rStyle w:val="Style8"/>
          <w:sz w:val="22"/>
          <w:u w:val="single"/>
          <w:szCs w:val="22"/>
          <w:rFonts w:eastAsia="Lucida Sans Unicode" w:cs="Arial" w:ascii="Cambria" w:hAnsi="Cambria"/>
          <w:lang w:eastAsia="pl-PL"/>
        </w:rPr>
        <w:instrText xml:space="preserve"> HYPERLINK "https://sip.lex.pl/" \l "/document/16798683?unitId=art(286)&amp;cm=DOCUMENT"</w:instrText>
      </w:r>
      <w:r>
        <w:rPr>
          <w:rStyle w:val="Style8"/>
          <w:sz w:val="22"/>
          <w:u w:val="single"/>
          <w:szCs w:val="22"/>
          <w:rFonts w:eastAsia="Lucida Sans Unicode" w:cs="Arial" w:ascii="Cambria" w:hAnsi="Cambria"/>
          <w:lang w:eastAsia="pl-PL"/>
        </w:rPr>
        <w:fldChar w:fldCharType="separate"/>
      </w:r>
      <w:r>
        <w:rPr>
          <w:rStyle w:val="Style8"/>
          <w:rFonts w:eastAsia="Lucida Sans Unicode" w:cs="Arial" w:ascii="Cambria" w:hAnsi="Cambria"/>
          <w:sz w:val="22"/>
          <w:szCs w:val="22"/>
          <w:u w:val="single"/>
          <w:lang w:eastAsia="pl-PL"/>
        </w:rPr>
        <w:t>art. 286</w:t>
      </w:r>
      <w:r>
        <w:rPr>
          <w:rStyle w:val="Style8"/>
          <w:sz w:val="22"/>
          <w:u w:val="single"/>
          <w:szCs w:val="22"/>
          <w:rFonts w:eastAsia="Lucida Sans Unicode" w:cs="Arial" w:ascii="Cambria" w:hAnsi="Cambria"/>
          <w:lang w:eastAsia="pl-PL"/>
        </w:rPr>
        <w:fldChar w:fldCharType="end"/>
      </w:r>
      <w:r>
        <w:rPr>
          <w:rFonts w:eastAsia="Lucida Sans Unicode" w:cs="Arial" w:ascii="Cambria" w:hAnsi="Cambria"/>
          <w:sz w:val="22"/>
          <w:szCs w:val="22"/>
          <w:lang w:eastAsia="pl-PL"/>
        </w:rPr>
        <w:t xml:space="preserve"> Kodeksu karnego, przestępstwo przeciwko wiarygodności dokumentów, o których mowa w </w:t>
      </w:r>
      <w:r>
        <w:fldChar w:fldCharType="begin"/>
      </w:r>
      <w:r>
        <w:rPr>
          <w:rStyle w:val="Style8"/>
          <w:sz w:val="22"/>
          <w:u w:val="single"/>
          <w:szCs w:val="22"/>
          <w:rFonts w:eastAsia="Lucida Sans Unicode" w:cs="Arial" w:ascii="Cambria" w:hAnsi="Cambria"/>
          <w:lang w:eastAsia="pl-PL"/>
        </w:rPr>
        <w:instrText xml:space="preserve"> HYPERLINK "https://sip.lex.pl/" \l "/document/16798683?unitId=art(270)&amp;cm=DOCUMENT"</w:instrText>
      </w:r>
      <w:r>
        <w:rPr>
          <w:rStyle w:val="Style8"/>
          <w:sz w:val="22"/>
          <w:u w:val="single"/>
          <w:szCs w:val="22"/>
          <w:rFonts w:eastAsia="Lucida Sans Unicode" w:cs="Arial" w:ascii="Cambria" w:hAnsi="Cambria"/>
          <w:lang w:eastAsia="pl-PL"/>
        </w:rPr>
        <w:fldChar w:fldCharType="separate"/>
      </w:r>
      <w:r>
        <w:rPr>
          <w:rStyle w:val="Style8"/>
          <w:rFonts w:eastAsia="Lucida Sans Unicode" w:cs="Arial" w:ascii="Cambria" w:hAnsi="Cambria"/>
          <w:sz w:val="22"/>
          <w:szCs w:val="22"/>
          <w:u w:val="single"/>
          <w:lang w:eastAsia="pl-PL"/>
        </w:rPr>
        <w:t>art. 270-277d</w:t>
      </w:r>
      <w:r>
        <w:rPr>
          <w:rStyle w:val="Style8"/>
          <w:sz w:val="22"/>
          <w:u w:val="single"/>
          <w:szCs w:val="22"/>
          <w:rFonts w:eastAsia="Lucida Sans Unicode" w:cs="Arial" w:ascii="Cambria" w:hAnsi="Cambria"/>
          <w:lang w:eastAsia="pl-PL"/>
        </w:rPr>
        <w:fldChar w:fldCharType="end"/>
      </w:r>
      <w:r>
        <w:rPr>
          <w:rFonts w:eastAsia="Lucida Sans Unicode" w:cs="Arial" w:ascii="Cambria" w:hAnsi="Cambria"/>
          <w:sz w:val="22"/>
          <w:szCs w:val="22"/>
          <w:lang w:eastAsia="pl-PL"/>
        </w:rPr>
        <w:t xml:space="preserve"> Kodeksu karnego, lub przestępstwo skarbowe,</w:t>
      </w:r>
    </w:p>
    <w:p>
      <w:pPr>
        <w:pStyle w:val="Normal"/>
        <w:shd w:val="clear" w:color="auto" w:fill="FFFFFF"/>
        <w:tabs>
          <w:tab w:val="left" w:pos="708" w:leader="none"/>
        </w:tabs>
        <w:spacing w:lineRule="auto" w:line="276" w:before="120" w:after="120"/>
        <w:ind w:left="972"/>
        <w:contextualSpacing/>
        <w:jc w:val="both"/>
        <w:rPr/>
      </w:pPr>
      <w:r>
        <w:rPr>
          <w:rFonts w:eastAsia="Lucida Sans Unicode" w:cs="Arial" w:ascii="Cambria" w:hAnsi="Cambria"/>
          <w:sz w:val="22"/>
          <w:szCs w:val="22"/>
          <w:lang w:eastAsia="pl-PL"/>
        </w:rPr>
        <w:t>h) o którym mowa w art. 9 ust. 1 i 3 lub art. 10 ustawy z dnia 15 czerwca 2012 r. o skutkach powierzania wykonywania pracy cudzoziemcom przebywającym wbrew przepisom na terytorium Rzeczypospolitej Polskiej</w:t>
      </w:r>
    </w:p>
    <w:p>
      <w:pPr>
        <w:pStyle w:val="Normal"/>
        <w:shd w:val="clear" w:color="auto" w:fill="FFFFFF"/>
        <w:suppressAutoHyphens w:val="false"/>
        <w:spacing w:lineRule="auto" w:line="276" w:before="120" w:after="120"/>
        <w:ind w:left="972"/>
        <w:jc w:val="both"/>
        <w:rPr/>
      </w:pPr>
      <w:r>
        <w:rPr>
          <w:rFonts w:cs="Arial" w:ascii="Cambria" w:hAnsi="Cambria"/>
          <w:sz w:val="22"/>
          <w:szCs w:val="22"/>
          <w:lang w:eastAsia="pl-PL"/>
        </w:rPr>
        <w:t>- lub za odpowiedni czyn zabroniony określony w przepisach prawa obcego;</w:t>
      </w:r>
    </w:p>
    <w:p>
      <w:pPr>
        <w:pStyle w:val="Normal"/>
        <w:numPr>
          <w:ilvl w:val="1"/>
          <w:numId w:val="32"/>
        </w:numPr>
        <w:suppressAutoHyphens w:val="false"/>
        <w:spacing w:lineRule="auto" w:line="276" w:before="120" w:after="120"/>
        <w:jc w:val="both"/>
        <w:rPr/>
      </w:pPr>
      <w:r>
        <w:rPr>
          <w:rFonts w:cs="Arial" w:ascii="Cambria" w:hAnsi="Cambria"/>
          <w:sz w:val="22"/>
          <w:szCs w:val="22"/>
        </w:rPr>
        <w:t>jeżeli urzędującego członka jego organu zarządzającego lub nadzorczego, wspólnika spółki w spółce jawnej lub partnerskiej albo komplementariusza w spółce komandytowej lub komandytowo-akcyjnej lub prokurenta prawomocnie skazano za przestępstwo, o którym mowa w pkt 1;</w:t>
      </w:r>
    </w:p>
    <w:p>
      <w:pPr>
        <w:pStyle w:val="Normal"/>
        <w:numPr>
          <w:ilvl w:val="1"/>
          <w:numId w:val="32"/>
        </w:numPr>
        <w:suppressAutoHyphens w:val="false"/>
        <w:spacing w:lineRule="auto" w:line="276" w:before="120" w:after="120"/>
        <w:jc w:val="both"/>
        <w:rPr/>
      </w:pPr>
      <w:r>
        <w:rPr>
          <w:rFonts w:cs="Arial" w:ascii="Cambria" w:hAnsi="Cambria"/>
          <w:sz w:val="22"/>
          <w:szCs w:val="22"/>
        </w:rPr>
        <w:t>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pPr>
        <w:pStyle w:val="Normal"/>
        <w:numPr>
          <w:ilvl w:val="1"/>
          <w:numId w:val="32"/>
        </w:numPr>
        <w:suppressAutoHyphens w:val="false"/>
        <w:spacing w:lineRule="auto" w:line="276" w:before="120" w:after="120"/>
        <w:jc w:val="both"/>
        <w:rPr/>
      </w:pPr>
      <w:r>
        <w:rPr>
          <w:rFonts w:cs="Arial" w:ascii="Cambria" w:hAnsi="Cambria"/>
          <w:sz w:val="22"/>
          <w:szCs w:val="22"/>
        </w:rPr>
        <w:t>wobec którego prawomocnie orzeczono zakaz ubiegania się o zamówienia publiczne;</w:t>
      </w:r>
    </w:p>
    <w:p>
      <w:pPr>
        <w:pStyle w:val="Normal"/>
        <w:numPr>
          <w:ilvl w:val="1"/>
          <w:numId w:val="32"/>
        </w:numPr>
        <w:suppressAutoHyphens w:val="false"/>
        <w:spacing w:lineRule="auto" w:line="276" w:before="120" w:after="120"/>
        <w:jc w:val="both"/>
        <w:rPr/>
      </w:pPr>
      <w:r>
        <w:rPr>
          <w:rFonts w:cs="Arial" w:ascii="Cambria" w:hAnsi="Cambria"/>
          <w:sz w:val="22"/>
          <w:szCs w:val="22"/>
        </w:rPr>
        <w:t xml:space="preserve">jeżeli zamawiający może stwierdzić, na podstawie wiarygodnych przesłanek, że wykonawca zawarł z innymi wykonawcami porozumienie mające na celu zakłócenie konkurencji, w szczególności jeżeli należąc do tej samej grupy kapitałowej w rozumieniu </w:t>
      </w:r>
      <w:r>
        <w:fldChar w:fldCharType="begin"/>
      </w:r>
      <w:r>
        <w:rPr>
          <w:rStyle w:val="Style8"/>
          <w:sz w:val="22"/>
          <w:szCs w:val="22"/>
          <w:rFonts w:cs="Arial" w:ascii="Cambria" w:hAnsi="Cambria"/>
        </w:rPr>
        <w:instrText xml:space="preserve"> HYPERLINK "https://sip.lex.pl/" \l "/document/17337528?cm=DOCUMENT"</w:instrText>
      </w:r>
      <w:r>
        <w:rPr>
          <w:rStyle w:val="Style8"/>
          <w:sz w:val="22"/>
          <w:szCs w:val="22"/>
          <w:rFonts w:cs="Arial" w:ascii="Cambria" w:hAnsi="Cambria"/>
        </w:rPr>
        <w:fldChar w:fldCharType="separate"/>
      </w:r>
      <w:r>
        <w:rPr>
          <w:rStyle w:val="Style8"/>
          <w:rFonts w:cs="Arial" w:ascii="Cambria" w:hAnsi="Cambria"/>
          <w:sz w:val="22"/>
          <w:szCs w:val="22"/>
        </w:rPr>
        <w:t>ustawy</w:t>
      </w:r>
      <w:r>
        <w:rPr>
          <w:rStyle w:val="Style8"/>
          <w:sz w:val="22"/>
          <w:szCs w:val="22"/>
          <w:rFonts w:cs="Arial" w:ascii="Cambria" w:hAnsi="Cambria"/>
        </w:rPr>
        <w:fldChar w:fldCharType="end"/>
      </w:r>
      <w:r>
        <w:rPr>
          <w:rFonts w:cs="Arial" w:ascii="Cambria" w:hAnsi="Cambria"/>
          <w:sz w:val="22"/>
          <w:szCs w:val="22"/>
        </w:rPr>
        <w:t xml:space="preserve"> z dnia 16 lutego 2007 r. o ochronie konkurencji i konsumentów, złożyli odrębne oferty, oferty częściowe lub wnioski o dopuszczenie do udziału w postępowaniu, chyba że wykażą, że przygotowali te oferty lub wnioski niezależnie od siebie;</w:t>
      </w:r>
    </w:p>
    <w:p>
      <w:pPr>
        <w:pStyle w:val="Normal"/>
        <w:numPr>
          <w:ilvl w:val="1"/>
          <w:numId w:val="32"/>
        </w:numPr>
        <w:suppressAutoHyphens w:val="false"/>
        <w:spacing w:lineRule="auto" w:line="276" w:before="120" w:after="120"/>
        <w:jc w:val="both"/>
        <w:rPr/>
      </w:pPr>
      <w:r>
        <w:rPr>
          <w:rFonts w:cs="Arial" w:ascii="Cambria" w:hAnsi="Cambria"/>
          <w:sz w:val="22"/>
          <w:szCs w:val="22"/>
        </w:rPr>
        <w:t xml:space="preserve">jeżeli, w przypadkach, o których mowa w art. 85 ust. 1 p.z.p., doszło do zakłócenia konkurencji wynikającego z wcześniejszego zaangażowania tego wykonawcy lub podmiotu, który należy z wykonawcą do tej samej grupy kapitałowej w rozumieniu </w:t>
      </w:r>
      <w:r>
        <w:fldChar w:fldCharType="begin"/>
      </w:r>
      <w:r>
        <w:rPr>
          <w:rStyle w:val="Style8"/>
          <w:sz w:val="22"/>
          <w:szCs w:val="22"/>
          <w:rFonts w:cs="Arial" w:ascii="Cambria" w:hAnsi="Cambria"/>
        </w:rPr>
        <w:instrText xml:space="preserve"> HYPERLINK "https://sip.lex.pl/" \l "/document/17337528?cm=DOCUMENT"</w:instrText>
      </w:r>
      <w:r>
        <w:rPr>
          <w:rStyle w:val="Style8"/>
          <w:sz w:val="22"/>
          <w:szCs w:val="22"/>
          <w:rFonts w:cs="Arial" w:ascii="Cambria" w:hAnsi="Cambria"/>
        </w:rPr>
        <w:fldChar w:fldCharType="separate"/>
      </w:r>
      <w:r>
        <w:rPr>
          <w:rStyle w:val="Style8"/>
          <w:rFonts w:cs="Arial" w:ascii="Cambria" w:hAnsi="Cambria"/>
          <w:sz w:val="22"/>
          <w:szCs w:val="22"/>
        </w:rPr>
        <w:t>ustawy</w:t>
      </w:r>
      <w:r>
        <w:rPr>
          <w:rStyle w:val="Style8"/>
          <w:sz w:val="22"/>
          <w:szCs w:val="22"/>
          <w:rFonts w:cs="Arial" w:ascii="Cambria" w:hAnsi="Cambria"/>
        </w:rPr>
        <w:fldChar w:fldCharType="end"/>
      </w:r>
      <w:r>
        <w:rPr>
          <w:rFonts w:cs="Arial" w:ascii="Cambria" w:hAnsi="Cambria"/>
          <w:sz w:val="22"/>
          <w:szCs w:val="22"/>
        </w:rPr>
        <w:t xml:space="preserve"> z dnia 16 lutego 2007 r. o ochronie konkurencji i konsumentów, chyba że spowodowane tym zakłócenie konkurencji może być wyeliminowane w inny sposób niż przez wykluczenie wykonawcy z udziału w postępowaniu o udzielenie zamówienia;</w:t>
      </w:r>
    </w:p>
    <w:p>
      <w:pPr>
        <w:pStyle w:val="Normal"/>
        <w:suppressAutoHyphens w:val="false"/>
        <w:spacing w:lineRule="auto" w:line="276" w:before="120" w:after="120"/>
        <w:ind w:left="540"/>
        <w:contextualSpacing/>
        <w:jc w:val="both"/>
        <w:rPr/>
      </w:pPr>
      <w:r>
        <w:rPr>
          <w:rFonts w:ascii="Cambria" w:hAnsi="Cambria"/>
          <w:sz w:val="22"/>
          <w:szCs w:val="22"/>
        </w:rPr>
        <w:t xml:space="preserve">a także wykonawcę, w stosunku do którego zachodzą podstawy wykluczenia wymienione w art. 109 ust. 1 pkt. 4, 5,7, 8 i 10 pzp tj: </w:t>
      </w:r>
    </w:p>
    <w:p>
      <w:pPr>
        <w:pStyle w:val="Normal"/>
        <w:numPr>
          <w:ilvl w:val="1"/>
          <w:numId w:val="32"/>
        </w:numPr>
        <w:suppressAutoHyphens w:val="false"/>
        <w:spacing w:lineRule="auto" w:line="276" w:before="120" w:after="120"/>
        <w:jc w:val="both"/>
        <w:rPr/>
      </w:pPr>
      <w:r>
        <w:rPr>
          <w:rFonts w:cs="Arial" w:ascii="Cambria" w:hAnsi="Cambria"/>
          <w:sz w:val="22"/>
          <w:szCs w:val="22"/>
        </w:rPr>
        <w:t>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p>
    <w:p>
      <w:pPr>
        <w:pStyle w:val="Normal"/>
        <w:numPr>
          <w:ilvl w:val="1"/>
          <w:numId w:val="32"/>
        </w:numPr>
        <w:suppressAutoHyphens w:val="false"/>
        <w:spacing w:lineRule="auto" w:line="276" w:before="120" w:after="120"/>
        <w:jc w:val="both"/>
        <w:rPr/>
      </w:pPr>
      <w:r>
        <w:rPr>
          <w:rFonts w:cs="Arial" w:ascii="Cambria" w:hAnsi="Cambria"/>
          <w:sz w:val="22"/>
          <w:szCs w:val="22"/>
        </w:rPr>
        <w:t>który w sposób zawiniony poważnie naruszył obowiązki zawodowe, co podważa jego uczciwość, w szczególności gdy wykonawca w wyniku zamierzonego działania lub rażącego niedbalstwa nie wykonał lub nienależycie wykonał zamówienie, co zamawiający jest w stanie wykazać za pomocą stosownych dowodów;</w:t>
      </w:r>
    </w:p>
    <w:p>
      <w:pPr>
        <w:pStyle w:val="Normal"/>
        <w:numPr>
          <w:ilvl w:val="1"/>
          <w:numId w:val="32"/>
        </w:numPr>
        <w:suppressAutoHyphens w:val="false"/>
        <w:spacing w:lineRule="auto" w:line="276" w:before="120" w:after="120"/>
        <w:jc w:val="both"/>
        <w:rPr/>
      </w:pPr>
      <w:r>
        <w:rPr>
          <w:rFonts w:cs="Arial" w:ascii="Cambria" w:hAnsi="Cambria"/>
          <w:sz w:val="22"/>
          <w:szCs w:val="22"/>
        </w:rPr>
        <w:t>który, z przyczyn leżących po jego stronie, w znacznym stopniu lub zakresie nie wykonał lub nienależycie wykonał albo długotrwale nienależycie wykonywał istotne zobowiązanie wynikające z wcześniejszej umowy w sprawie zamówienia publicznego lub umowy koncesji, co doprowadziło do wypowiedzenia lub odstąpienia od umowy, odszkodowania, wykonania zastępczego lub realizacji uprawnień z tytułu rękojmi za wady;</w:t>
      </w:r>
    </w:p>
    <w:p>
      <w:pPr>
        <w:pStyle w:val="Normal"/>
        <w:numPr>
          <w:ilvl w:val="1"/>
          <w:numId w:val="32"/>
        </w:numPr>
        <w:suppressAutoHyphens w:val="false"/>
        <w:spacing w:lineRule="auto" w:line="276" w:before="120" w:after="120"/>
        <w:ind w:hanging="546" w:left="972"/>
        <w:jc w:val="both"/>
        <w:rPr/>
      </w:pPr>
      <w:r>
        <w:rPr>
          <w:rFonts w:ascii="Cambria" w:hAnsi="Cambria"/>
          <w:sz w:val="22"/>
          <w:szCs w:val="22"/>
        </w:rPr>
        <w:t>który w wyniku zamierzonego działania lub rażącego niedbalstwa wprowadził zamawiającego w błąd przy przedstawianiu informacji, że nie podlega wykluczeniu, spełnia warunki udziału w postępowaniu lub kryteria selekcji, co mogło mieć istotny wpływ na decyzje podejmowane przez zamawiającego w postępowaniu o udzielenie zamówienia, lub który zataił te informacje lub nie jest w stanie przedstawić wymaganych podmiotowych środków dowodowych;</w:t>
      </w:r>
    </w:p>
    <w:p>
      <w:pPr>
        <w:pStyle w:val="Normal"/>
        <w:numPr>
          <w:ilvl w:val="1"/>
          <w:numId w:val="32"/>
        </w:numPr>
        <w:suppressAutoHyphens w:val="false"/>
        <w:spacing w:lineRule="auto" w:line="276" w:before="120" w:after="120"/>
        <w:ind w:hanging="546" w:left="972"/>
        <w:jc w:val="both"/>
        <w:rPr/>
      </w:pPr>
      <w:r>
        <w:rPr>
          <w:rFonts w:ascii="Cambria" w:hAnsi="Cambria"/>
          <w:sz w:val="22"/>
          <w:szCs w:val="22"/>
        </w:rPr>
        <w:t>który w wyniku lekkomyślności lub niedbalstwa przedstawił informacje wprowadzające w błąd, co mogło mieć istotny wpływ na decyzje podejmowane przez zamawiającego w postępowaniu o udzielenie zamówienia;</w:t>
      </w:r>
    </w:p>
    <w:p>
      <w:pPr>
        <w:pStyle w:val="Normal"/>
        <w:suppressAutoHyphens w:val="false"/>
        <w:spacing w:lineRule="auto" w:line="276" w:before="120" w:after="120"/>
        <w:ind w:left="708"/>
        <w:contextualSpacing/>
        <w:jc w:val="both"/>
        <w:rPr/>
      </w:pPr>
      <w:r>
        <w:rPr>
          <w:rFonts w:ascii="Cambria" w:hAnsi="Cambria"/>
          <w:sz w:val="22"/>
          <w:szCs w:val="22"/>
        </w:rPr>
        <w:t>a także wykonawcę w stosunku do którego zachodzą podstawy wykluczenia wymienione w</w:t>
      </w:r>
      <w:r>
        <w:rPr>
          <w:rFonts w:cs="Open Sans" w:ascii="Cambria" w:hAnsi="Cambria"/>
          <w:sz w:val="22"/>
          <w:szCs w:val="22"/>
        </w:rPr>
        <w:t xml:space="preserve"> art. 7 ust. 1 ustawy z dnia 13 kwietnia 2022r </w:t>
      </w:r>
      <w:r>
        <w:rPr>
          <w:rFonts w:ascii="Cambria" w:hAnsi="Cambria"/>
          <w:sz w:val="22"/>
          <w:szCs w:val="22"/>
        </w:rPr>
        <w:t xml:space="preserve">o szczególnych rozwiązaniach w zakresie przeciwdziałania wspieraniu agresji na Ukrainę oraz służących ochronie bezpieczeństwa narodowego, tj: </w:t>
      </w:r>
    </w:p>
    <w:p>
      <w:pPr>
        <w:pStyle w:val="Normal"/>
        <w:numPr>
          <w:ilvl w:val="1"/>
          <w:numId w:val="32"/>
        </w:numPr>
        <w:suppressAutoHyphens w:val="false"/>
        <w:spacing w:lineRule="auto" w:line="276" w:before="120" w:after="120"/>
        <w:ind w:hanging="546" w:left="972"/>
        <w:jc w:val="both"/>
        <w:rPr/>
      </w:pPr>
      <w:r>
        <w:rPr>
          <w:rFonts w:cs="Arial" w:ascii="Cambria" w:hAnsi="Cambria"/>
          <w:sz w:val="22"/>
          <w:szCs w:val="22"/>
        </w:rPr>
        <w:t>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pPr>
        <w:pStyle w:val="Normal"/>
        <w:numPr>
          <w:ilvl w:val="1"/>
          <w:numId w:val="32"/>
        </w:numPr>
        <w:suppressAutoHyphens w:val="false"/>
        <w:spacing w:lineRule="auto" w:line="276" w:before="120" w:after="120"/>
        <w:ind w:hanging="546" w:left="972"/>
        <w:jc w:val="both"/>
        <w:rPr/>
      </w:pPr>
      <w:r>
        <w:rPr>
          <w:rFonts w:cs="Arial" w:ascii="Cambria" w:hAnsi="Cambria"/>
          <w:sz w:val="22"/>
          <w:szCs w:val="22"/>
        </w:rPr>
        <w:t>wykonawcę oraz uczestnika konkursu, którego beneficjentem rzeczywistym w rozumieniu ustawy z dnia 1 marca 2018 r. o przeciwdziałaniu praniu pieniędzy oraz finansowaniu terroryzmu (Dz. U. z 2022 r. poz. 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pPr>
        <w:pStyle w:val="Normal"/>
        <w:numPr>
          <w:ilvl w:val="1"/>
          <w:numId w:val="32"/>
        </w:numPr>
        <w:suppressAutoHyphens w:val="false"/>
        <w:spacing w:lineRule="auto" w:line="276" w:before="120" w:after="120"/>
        <w:ind w:hanging="546" w:left="972"/>
        <w:jc w:val="both"/>
        <w:rPr/>
      </w:pPr>
      <w:bookmarkStart w:id="4" w:name="_Hlk102721553"/>
      <w:r>
        <w:rPr>
          <w:rFonts w:cs="Arial" w:ascii="Cambria" w:hAnsi="Cambria"/>
          <w:sz w:val="22"/>
          <w:szCs w:val="22"/>
        </w:rPr>
        <w:t>wykonawcę oraz uczestnika konkursu,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bookmarkEnd w:id="4"/>
      <w:r>
        <w:rPr>
          <w:rFonts w:cs="Arial" w:ascii="Cambria" w:hAnsi="Cambria"/>
          <w:sz w:val="22"/>
          <w:szCs w:val="22"/>
        </w:rPr>
        <w:t>;</w:t>
      </w:r>
    </w:p>
    <w:p>
      <w:pPr>
        <w:pStyle w:val="Normal"/>
        <w:suppressAutoHyphens w:val="false"/>
        <w:spacing w:lineRule="auto" w:line="276" w:before="120" w:after="120"/>
        <w:ind w:left="426"/>
        <w:jc w:val="both"/>
        <w:rPr/>
      </w:pPr>
      <w:r>
        <w:rPr>
          <w:rFonts w:cs="Arial" w:ascii="Cambria" w:hAnsi="Cambria"/>
          <w:color w:themeColor="text1" w:val="000000"/>
          <w:sz w:val="22"/>
          <w:szCs w:val="22"/>
        </w:rPr>
        <w:t>a ponadto, zgodnie z art. 16b pzp:</w:t>
      </w:r>
    </w:p>
    <w:p>
      <w:pPr>
        <w:pStyle w:val="Normal"/>
        <w:numPr>
          <w:ilvl w:val="1"/>
          <w:numId w:val="32"/>
        </w:numPr>
        <w:suppressAutoHyphens w:val="false"/>
        <w:spacing w:lineRule="auto" w:line="276" w:before="120" w:after="120"/>
        <w:ind w:hanging="546" w:left="972"/>
        <w:jc w:val="both"/>
        <w:rPr/>
      </w:pPr>
      <w:r>
        <w:rPr>
          <w:rFonts w:cs="Arial" w:ascii="Cambria" w:hAnsi="Cambria"/>
          <w:color w:themeColor="text1" w:val="000000"/>
          <w:sz w:val="22"/>
          <w:szCs w:val="22"/>
        </w:rPr>
        <w:t>wykonawcę, o którym mowa w sekcji I pkt. 3.5 zdanie drugie niniejszej SWZ.</w:t>
      </w:r>
    </w:p>
    <w:p>
      <w:pPr>
        <w:pStyle w:val="Normal"/>
        <w:numPr>
          <w:ilvl w:val="0"/>
          <w:numId w:val="32"/>
        </w:numPr>
        <w:suppressAutoHyphens w:val="false"/>
        <w:spacing w:lineRule="auto" w:line="276" w:before="120" w:after="120"/>
        <w:jc w:val="both"/>
        <w:rPr/>
      </w:pPr>
      <w:r>
        <w:rPr>
          <w:rFonts w:cs="Arial" w:ascii="Cambria" w:hAnsi="Cambria"/>
          <w:sz w:val="22"/>
          <w:szCs w:val="22"/>
        </w:rPr>
        <w:t>Zamawiający</w:t>
      </w:r>
      <w:r>
        <w:rPr>
          <w:rFonts w:cs="Arial" w:ascii="Cambria" w:hAnsi="Cambria"/>
          <w:bCs/>
          <w:sz w:val="22"/>
          <w:szCs w:val="22"/>
        </w:rPr>
        <w:t xml:space="preserve"> może wykluczyć wykonawcę na każdym etapie postępowania o udzielenie zamówienia.</w:t>
      </w:r>
    </w:p>
    <w:p>
      <w:pPr>
        <w:pStyle w:val="Normal"/>
        <w:numPr>
          <w:ilvl w:val="0"/>
          <w:numId w:val="32"/>
        </w:numPr>
        <w:suppressAutoHyphens w:val="false"/>
        <w:spacing w:lineRule="auto" w:line="276" w:before="120" w:after="120"/>
        <w:jc w:val="both"/>
        <w:rPr/>
      </w:pPr>
      <w:r>
        <w:rPr>
          <w:rFonts w:cs="Arial" w:ascii="Cambria" w:hAnsi="Cambria"/>
          <w:sz w:val="22"/>
          <w:szCs w:val="22"/>
        </w:rPr>
        <w:t xml:space="preserve">Wykonawca nie podlega wykluczeniu w okolicznościach określonych w ust. 2 pkt 2.1, 2.2 i 2.5 lub 2.7, 2.8, 2.9, </w:t>
      </w:r>
      <w:r>
        <w:rPr>
          <w:rFonts w:cs="Arial" w:ascii="Cambria" w:hAnsi="Cambria"/>
          <w:sz w:val="22"/>
          <w:szCs w:val="22"/>
          <w:shd w:fill="FFFFFF" w:val="clear"/>
        </w:rPr>
        <w:t>2.10 i 2.11</w:t>
      </w:r>
      <w:r>
        <w:rPr>
          <w:rFonts w:cs="Arial" w:ascii="Cambria" w:hAnsi="Cambria"/>
          <w:sz w:val="22"/>
          <w:szCs w:val="22"/>
        </w:rPr>
        <w:t xml:space="preserve"> jeżeli udowodni zamawiającemu, że spełnił łącznie następujące przesłanki:</w:t>
      </w:r>
    </w:p>
    <w:p>
      <w:pPr>
        <w:pStyle w:val="Normal"/>
        <w:numPr>
          <w:ilvl w:val="1"/>
          <w:numId w:val="32"/>
        </w:numPr>
        <w:suppressAutoHyphens w:val="false"/>
        <w:spacing w:lineRule="auto" w:line="276" w:before="120" w:after="120"/>
        <w:jc w:val="both"/>
        <w:rPr/>
      </w:pPr>
      <w:r>
        <w:rPr>
          <w:rFonts w:cs="Arial" w:ascii="Cambria" w:hAnsi="Cambria"/>
          <w:sz w:val="22"/>
          <w:szCs w:val="22"/>
        </w:rPr>
        <w:t>naprawił lub zobowiązał się do naprawienia szkody wyrządzonej przestępstwem, wykroczeniem lub swoim nieprawidłowym postępowaniem, w tym poprzez zadośćuczynienie pieniężne;</w:t>
      </w:r>
    </w:p>
    <w:p>
      <w:pPr>
        <w:pStyle w:val="Normal"/>
        <w:numPr>
          <w:ilvl w:val="1"/>
          <w:numId w:val="32"/>
        </w:numPr>
        <w:suppressAutoHyphens w:val="false"/>
        <w:spacing w:lineRule="auto" w:line="276" w:before="120" w:after="120"/>
        <w:jc w:val="both"/>
        <w:rPr/>
      </w:pPr>
      <w:r>
        <w:rPr>
          <w:rFonts w:cs="Arial" w:ascii="Cambria" w:hAnsi="Cambria"/>
          <w:sz w:val="22"/>
          <w:szCs w:val="22"/>
        </w:rPr>
        <w:t>wyczerpująco wyjaśnił fakty i okoliczności związane z przestępstwem, wykroczeniem lub swoim nieprawidłowym postępowaniem oraz spowodowanymi przez nie szkodami, aktywnie współpracując odpowiednio z właściwymi organami, w tym organami ścigania, lub zamawiającym;</w:t>
      </w:r>
    </w:p>
    <w:p>
      <w:pPr>
        <w:pStyle w:val="Normal"/>
        <w:numPr>
          <w:ilvl w:val="1"/>
          <w:numId w:val="32"/>
        </w:numPr>
        <w:suppressAutoHyphens w:val="false"/>
        <w:spacing w:lineRule="auto" w:line="276" w:before="120" w:after="120"/>
        <w:jc w:val="both"/>
        <w:rPr/>
      </w:pPr>
      <w:r>
        <w:rPr>
          <w:rFonts w:cs="Arial" w:ascii="Cambria" w:hAnsi="Cambria"/>
          <w:sz w:val="22"/>
          <w:szCs w:val="22"/>
        </w:rPr>
        <w:t>podjął konkretne środki techniczne, organizacyjne i kadrowe, odpowiednie dla zapobiegania dalszym przestępstwom, wykroczeniom lub nieprawidłowemu postępowaniu, w szczególności:</w:t>
      </w:r>
    </w:p>
    <w:p>
      <w:pPr>
        <w:pStyle w:val="Normal"/>
        <w:suppressAutoHyphens w:val="false"/>
        <w:spacing w:lineRule="auto" w:line="276" w:before="120" w:after="120"/>
        <w:ind w:left="972"/>
        <w:jc w:val="both"/>
        <w:rPr/>
      </w:pPr>
      <w:r>
        <w:rPr>
          <w:rFonts w:cs="Arial" w:ascii="Cambria" w:hAnsi="Cambria"/>
          <w:sz w:val="22"/>
          <w:szCs w:val="22"/>
        </w:rPr>
        <w:t>a) zerwał wszelkie powiązania z osobami lub podmiotami odpowiedzialnymi za nieprawidłowe postępowanie wykonawcy,</w:t>
      </w:r>
    </w:p>
    <w:p>
      <w:pPr>
        <w:pStyle w:val="Normal"/>
        <w:suppressAutoHyphens w:val="false"/>
        <w:spacing w:lineRule="auto" w:line="276" w:before="120" w:after="120"/>
        <w:ind w:left="972"/>
        <w:jc w:val="both"/>
        <w:rPr>
          <w:rFonts w:ascii="Cambria" w:hAnsi="Cambria" w:cs="Arial"/>
          <w:sz w:val="22"/>
          <w:szCs w:val="22"/>
        </w:rPr>
      </w:pPr>
      <w:r>
        <w:rPr>
          <w:rFonts w:cs="Arial" w:ascii="Cambria" w:hAnsi="Cambria"/>
          <w:sz w:val="22"/>
          <w:szCs w:val="22"/>
        </w:rPr>
        <w:t>b) zreorganizował personel,</w:t>
      </w:r>
    </w:p>
    <w:p>
      <w:pPr>
        <w:pStyle w:val="Normal"/>
        <w:suppressAutoHyphens w:val="false"/>
        <w:spacing w:lineRule="auto" w:line="276" w:before="120" w:after="120"/>
        <w:ind w:left="972"/>
        <w:jc w:val="both"/>
        <w:rPr>
          <w:rFonts w:ascii="Cambria" w:hAnsi="Cambria" w:cs="Arial"/>
          <w:sz w:val="22"/>
          <w:szCs w:val="22"/>
        </w:rPr>
      </w:pPr>
      <w:r>
        <w:rPr>
          <w:rFonts w:cs="Arial" w:ascii="Cambria" w:hAnsi="Cambria"/>
          <w:sz w:val="22"/>
          <w:szCs w:val="22"/>
        </w:rPr>
        <w:t>c) wdrożył system sprawozdawczości i kontroli,</w:t>
      </w:r>
    </w:p>
    <w:p>
      <w:pPr>
        <w:pStyle w:val="Normal"/>
        <w:suppressAutoHyphens w:val="false"/>
        <w:spacing w:lineRule="auto" w:line="276" w:before="120" w:after="120"/>
        <w:ind w:left="972"/>
        <w:jc w:val="both"/>
        <w:rPr>
          <w:rFonts w:ascii="Cambria" w:hAnsi="Cambria" w:cs="Arial"/>
          <w:sz w:val="22"/>
          <w:szCs w:val="22"/>
        </w:rPr>
      </w:pPr>
      <w:r>
        <w:rPr>
          <w:rFonts w:cs="Arial" w:ascii="Cambria" w:hAnsi="Cambria"/>
          <w:sz w:val="22"/>
          <w:szCs w:val="22"/>
        </w:rPr>
        <w:t>d) utworzył struktury audytu wewnętrznego do monitorowania przestrzegania przepisów, wewnętrznych regulacji lub standardów,</w:t>
      </w:r>
    </w:p>
    <w:p>
      <w:pPr>
        <w:pStyle w:val="Normal"/>
        <w:suppressAutoHyphens w:val="false"/>
        <w:spacing w:lineRule="auto" w:line="276" w:before="120" w:after="120"/>
        <w:ind w:left="972"/>
        <w:jc w:val="both"/>
        <w:rPr>
          <w:rFonts w:ascii="Cambria" w:hAnsi="Cambria" w:cs="Arial"/>
          <w:sz w:val="22"/>
          <w:szCs w:val="22"/>
        </w:rPr>
      </w:pPr>
      <w:r>
        <w:rPr>
          <w:rFonts w:cs="Arial" w:ascii="Cambria" w:hAnsi="Cambria"/>
          <w:sz w:val="22"/>
          <w:szCs w:val="22"/>
        </w:rPr>
        <w:t>e) wprowadził wewnętrzne regulacje dotyczące odpowiedzialności i odszkodowań za nieprzestrzeganie przepisów, wewnętrznych regulacji lub standardów.</w:t>
      </w:r>
    </w:p>
    <w:p>
      <w:pPr>
        <w:pStyle w:val="Normal"/>
        <w:numPr>
          <w:ilvl w:val="0"/>
          <w:numId w:val="32"/>
        </w:numPr>
        <w:suppressAutoHyphens w:val="false"/>
        <w:spacing w:lineRule="auto" w:line="276" w:before="120" w:after="120"/>
        <w:jc w:val="both"/>
        <w:rPr/>
      </w:pPr>
      <w:r>
        <w:rPr>
          <w:rFonts w:cs="Arial" w:ascii="Cambria" w:hAnsi="Cambria"/>
          <w:sz w:val="22"/>
          <w:szCs w:val="22"/>
        </w:rPr>
        <w:t>Zamawiający</w:t>
      </w:r>
      <w:r>
        <w:rPr>
          <w:rFonts w:cs="Arial" w:ascii="Cambria" w:hAnsi="Cambria"/>
          <w:sz w:val="22"/>
          <w:szCs w:val="22"/>
          <w:shd w:fill="FFFFFF" w:val="clear"/>
        </w:rPr>
        <w:t xml:space="preserve"> oceni, czy podjęte przez wykonawcę czynności, o których mowa w ust. 4, są wystarczające do wykazania jego rzetelności, uwzględniając wagę i szczególne okoliczności czynu wykonawcy. Jeżeli podjęte przez wykonawcę czynności, o których mowa w ust. 4, nie są wystarczające do wykazania jego rzetelności, Zamawiający wykluczy wykonawcę.</w:t>
      </w:r>
    </w:p>
    <w:p>
      <w:pPr>
        <w:pStyle w:val="Normal"/>
        <w:numPr>
          <w:ilvl w:val="0"/>
          <w:numId w:val="32"/>
        </w:numPr>
        <w:suppressAutoHyphens w:val="false"/>
        <w:spacing w:lineRule="auto" w:line="276" w:before="120" w:after="120"/>
        <w:jc w:val="both"/>
        <w:rPr/>
      </w:pPr>
      <w:r>
        <w:rPr>
          <w:rFonts w:cs="Arial" w:ascii="Cambria" w:hAnsi="Cambria"/>
          <w:sz w:val="22"/>
          <w:szCs w:val="22"/>
          <w:shd w:fill="FFFFFF" w:val="clear"/>
        </w:rPr>
        <w:t>Wykluczenie wykonawcy następuje:</w:t>
      </w:r>
    </w:p>
    <w:p>
      <w:pPr>
        <w:pStyle w:val="Normal"/>
        <w:numPr>
          <w:ilvl w:val="1"/>
          <w:numId w:val="32"/>
        </w:numPr>
        <w:suppressAutoHyphens w:val="false"/>
        <w:spacing w:lineRule="auto" w:line="276" w:before="120" w:after="120"/>
        <w:jc w:val="both"/>
        <w:rPr/>
      </w:pPr>
      <w:r>
        <w:rPr>
          <w:rFonts w:cs="Arial" w:ascii="Cambria" w:hAnsi="Cambria"/>
          <w:sz w:val="22"/>
          <w:szCs w:val="22"/>
          <w:shd w:fill="FFFFFF" w:val="clear"/>
        </w:rPr>
        <w:t>w przypadkach, o których mowa w ust. 2 pkt 2.1 lit. a-g i pkt 2.2, na okres 5 lat od dnia uprawomocnienia się wyroku potwierdzającego zaistnienie jednej z podstaw wykluczenia, chyba że w tym wyroku został określony i okres wykluczenia;</w:t>
      </w:r>
    </w:p>
    <w:p>
      <w:pPr>
        <w:pStyle w:val="Normal"/>
        <w:numPr>
          <w:ilvl w:val="1"/>
          <w:numId w:val="32"/>
        </w:numPr>
        <w:suppressAutoHyphens w:val="false"/>
        <w:spacing w:lineRule="auto" w:line="276" w:before="120" w:after="120"/>
        <w:jc w:val="both"/>
        <w:rPr/>
      </w:pPr>
      <w:r>
        <w:rPr>
          <w:rFonts w:cs="Arial" w:ascii="Cambria" w:hAnsi="Cambria"/>
          <w:sz w:val="22"/>
          <w:szCs w:val="22"/>
          <w:shd w:fill="FFFFFF" w:val="clear"/>
        </w:rPr>
        <w:t>w przypadkach</w:t>
      </w:r>
      <w:r>
        <w:rPr>
          <w:rFonts w:cs="Arial" w:ascii="Cambria" w:hAnsi="Cambria"/>
          <w:sz w:val="22"/>
          <w:szCs w:val="22"/>
        </w:rPr>
        <w:t>, o których mowa w:</w:t>
      </w:r>
    </w:p>
    <w:p>
      <w:pPr>
        <w:pStyle w:val="Normal"/>
        <w:numPr>
          <w:ilvl w:val="0"/>
          <w:numId w:val="33"/>
        </w:numPr>
        <w:shd w:val="clear" w:color="auto" w:fill="FFFFFF"/>
        <w:tabs>
          <w:tab w:val="left" w:pos="708" w:leader="none"/>
        </w:tabs>
        <w:spacing w:lineRule="auto" w:line="276" w:before="120" w:after="120"/>
        <w:contextualSpacing/>
        <w:jc w:val="both"/>
        <w:rPr/>
      </w:pPr>
      <w:r>
        <w:rPr>
          <w:rFonts w:eastAsia="Lucida Sans Unicode" w:cs="Arial" w:ascii="Cambria" w:hAnsi="Cambria"/>
          <w:sz w:val="22"/>
          <w:szCs w:val="22"/>
          <w:lang w:eastAsia="pl-PL"/>
        </w:rPr>
        <w:t>ust. 2 pkt 2.1 lit. h i pkt 2.2, gdy osoba, o której mowa w tych przepisach, została skazana za przestępstwo wymienione w ust. 2 pkt 2.1 lit. h, - na okres 3 lat od dnia uprawomocnienia się odpowiednio wyroku potwierdzającego zaistnienie jednej z podstaw wykluczenia, wydania ostatecznej decyzji lub zaistnienia zdarzenia będącego podstawą wykluczenia, chyba że w wyroku lub decyzji został określony inny okres wykluczenia;</w:t>
      </w:r>
    </w:p>
    <w:p>
      <w:pPr>
        <w:pStyle w:val="Normal"/>
        <w:numPr>
          <w:ilvl w:val="0"/>
          <w:numId w:val="33"/>
        </w:numPr>
        <w:shd w:val="clear" w:color="auto" w:fill="FFFFFF"/>
        <w:tabs>
          <w:tab w:val="left" w:pos="708" w:leader="none"/>
        </w:tabs>
        <w:spacing w:lineRule="auto" w:line="276" w:before="120" w:after="120"/>
        <w:contextualSpacing/>
        <w:jc w:val="both"/>
        <w:rPr/>
      </w:pPr>
      <w:r>
        <w:rPr>
          <w:rFonts w:eastAsia="Lucida Sans Unicode" w:cs="Arial" w:ascii="Cambria" w:hAnsi="Cambria"/>
          <w:sz w:val="22"/>
          <w:szCs w:val="22"/>
          <w:lang w:eastAsia="pl-PL"/>
        </w:rPr>
        <w:t>ust. 2 pkt 2.7, 2.8, 2.9 na okres 3 lat od zaistnienia zdarzenia będącego podstawą wykluczenia;</w:t>
      </w:r>
    </w:p>
    <w:p>
      <w:pPr>
        <w:pStyle w:val="Normal"/>
        <w:numPr>
          <w:ilvl w:val="0"/>
          <w:numId w:val="33"/>
        </w:numPr>
        <w:shd w:val="clear" w:color="auto" w:fill="FFFFFF"/>
        <w:tabs>
          <w:tab w:val="left" w:pos="708" w:leader="none"/>
        </w:tabs>
        <w:spacing w:lineRule="auto" w:line="276" w:before="120" w:after="120"/>
        <w:contextualSpacing/>
        <w:jc w:val="both"/>
        <w:rPr/>
      </w:pPr>
      <w:r>
        <w:rPr>
          <w:rFonts w:eastAsia="Lucida Sans Unicode" w:cs="Arial" w:ascii="Cambria" w:hAnsi="Cambria"/>
          <w:sz w:val="22"/>
          <w:szCs w:val="22"/>
          <w:lang w:eastAsia="pl-PL"/>
        </w:rPr>
        <w:t>ust. 2 pkt. 2.10, na okres 2 lat od zaistnienia zdarzenia będącego podstawą wykluczenia;</w:t>
      </w:r>
    </w:p>
    <w:p>
      <w:pPr>
        <w:pStyle w:val="Normal"/>
        <w:numPr>
          <w:ilvl w:val="0"/>
          <w:numId w:val="33"/>
        </w:numPr>
        <w:shd w:val="clear" w:color="auto" w:fill="FFFFFF"/>
        <w:tabs>
          <w:tab w:val="left" w:pos="708" w:leader="none"/>
        </w:tabs>
        <w:spacing w:lineRule="auto" w:line="276" w:before="120" w:after="120"/>
        <w:contextualSpacing/>
        <w:jc w:val="both"/>
        <w:rPr/>
      </w:pPr>
      <w:r>
        <w:rPr>
          <w:rFonts w:eastAsia="Lucida Sans Unicode" w:cs="Arial" w:ascii="Cambria" w:hAnsi="Cambria"/>
          <w:sz w:val="22"/>
          <w:szCs w:val="22"/>
          <w:lang w:eastAsia="pl-PL"/>
        </w:rPr>
        <w:t>ust. 2 pkt. 2.11, na okres roku od zaistnienia zdarzenia będącego podstawą wykluczenia.</w:t>
      </w:r>
    </w:p>
    <w:p>
      <w:pPr>
        <w:pStyle w:val="Normal"/>
        <w:numPr>
          <w:ilvl w:val="1"/>
          <w:numId w:val="32"/>
        </w:numPr>
        <w:suppressAutoHyphens w:val="false"/>
        <w:spacing w:lineRule="auto" w:line="276" w:before="120" w:after="120"/>
        <w:jc w:val="both"/>
        <w:rPr/>
      </w:pPr>
      <w:r>
        <w:rPr>
          <w:rFonts w:cs="Arial" w:ascii="Cambria" w:hAnsi="Cambria"/>
          <w:sz w:val="22"/>
          <w:szCs w:val="22"/>
        </w:rPr>
        <w:t xml:space="preserve">w </w:t>
      </w:r>
      <w:r>
        <w:rPr>
          <w:rFonts w:cs="Arial" w:ascii="Cambria" w:hAnsi="Cambria"/>
          <w:sz w:val="22"/>
          <w:szCs w:val="22"/>
          <w:shd w:fill="FFFFFF" w:val="clear"/>
        </w:rPr>
        <w:t>przypadku, o którym mowa w ust. 2 pkt 2.4, na okres, na jaki został prawomocnie orzeczony zakaz ubiegania się o zamówienia publiczne;</w:t>
      </w:r>
    </w:p>
    <w:p>
      <w:pPr>
        <w:pStyle w:val="Normal"/>
        <w:numPr>
          <w:ilvl w:val="1"/>
          <w:numId w:val="32"/>
        </w:numPr>
        <w:suppressAutoHyphens w:val="false"/>
        <w:spacing w:lineRule="auto" w:line="276" w:before="120" w:after="120"/>
        <w:jc w:val="both"/>
        <w:rPr/>
      </w:pPr>
      <w:r>
        <w:rPr>
          <w:rFonts w:cs="Arial" w:ascii="Cambria" w:hAnsi="Cambria"/>
          <w:sz w:val="22"/>
          <w:szCs w:val="22"/>
          <w:shd w:fill="FFFFFF" w:val="clear"/>
        </w:rPr>
        <w:t>w przypadkach, o których mowa w ust. 2 pkt 2.5, 2.7, 2.8, 2.9 na okres 3 lat od zaistnienia zdarzenia będącego podstawą wykluczenia;</w:t>
      </w:r>
    </w:p>
    <w:p>
      <w:pPr>
        <w:pStyle w:val="Normal"/>
        <w:numPr>
          <w:ilvl w:val="1"/>
          <w:numId w:val="32"/>
        </w:numPr>
        <w:suppressAutoHyphens w:val="false"/>
        <w:spacing w:lineRule="auto" w:line="276" w:before="120" w:after="120"/>
        <w:jc w:val="both"/>
        <w:rPr/>
      </w:pPr>
      <w:r>
        <w:rPr>
          <w:rFonts w:cs="Arial" w:ascii="Cambria" w:hAnsi="Cambria"/>
          <w:sz w:val="22"/>
          <w:szCs w:val="22"/>
          <w:shd w:fill="FFFFFF" w:val="clear"/>
        </w:rPr>
        <w:t>w przypadkach, o których mowa w ust. 2 pkt. 2.6 w postępowaniu o udzielenie zamówienia, w którym</w:t>
      </w:r>
      <w:r>
        <w:rPr>
          <w:rFonts w:cs="Arial" w:ascii="Cambria" w:hAnsi="Cambria"/>
          <w:sz w:val="22"/>
          <w:szCs w:val="22"/>
        </w:rPr>
        <w:t xml:space="preserve"> zaistniało zdarzenie będące podstawą wykluczenia.</w:t>
      </w:r>
    </w:p>
    <w:p>
      <w:pPr>
        <w:pStyle w:val="Normal"/>
        <w:numPr>
          <w:ilvl w:val="0"/>
          <w:numId w:val="32"/>
        </w:numPr>
        <w:suppressAutoHyphens w:val="false"/>
        <w:spacing w:lineRule="auto" w:line="276" w:before="120" w:after="120"/>
        <w:jc w:val="both"/>
        <w:rPr/>
      </w:pPr>
      <w:r>
        <w:rPr>
          <w:rFonts w:cs="Arial" w:ascii="Cambria" w:hAnsi="Cambria"/>
          <w:sz w:val="22"/>
          <w:szCs w:val="22"/>
          <w:shd w:fill="FFFFFF" w:val="clear"/>
        </w:rPr>
        <w:t>Wykonawca, zgodnie z art. 118 p.z.p., może w celu potwierdzenia spełniania warunków udziału w postępowaniu, polegać na zdolnościach technicznych lub zawodowych lub sytuacji finansowej lub ekonomicznej podmiotów udostępniających zasoby, niezależnie od charakteru prawnego łączących go z nimi stosunków prawnych.</w:t>
      </w:r>
    </w:p>
    <w:p>
      <w:pPr>
        <w:pStyle w:val="Normal"/>
        <w:numPr>
          <w:ilvl w:val="0"/>
          <w:numId w:val="32"/>
        </w:numPr>
        <w:suppressAutoHyphens w:val="false"/>
        <w:spacing w:lineRule="auto" w:line="276" w:before="120" w:after="120"/>
        <w:jc w:val="both"/>
        <w:rPr/>
      </w:pPr>
      <w:r>
        <w:rPr>
          <w:rFonts w:cs="Arial" w:ascii="Cambria" w:hAnsi="Cambria"/>
          <w:sz w:val="22"/>
          <w:szCs w:val="22"/>
          <w:shd w:fill="FFFFFF" w:val="clear"/>
        </w:rPr>
        <w:t>Podmiot</w:t>
      </w:r>
      <w:r>
        <w:rPr>
          <w:rFonts w:cs="Arial" w:ascii="Cambria" w:hAnsi="Cambria"/>
          <w:sz w:val="22"/>
          <w:szCs w:val="22"/>
        </w:rPr>
        <w:t>, który zobowiązał się do udostępnienia zasobów, odpowiada solidarnie z wykonawcą, który polega na jego sytuacji finansowej lub ekonomicznej, za szkodę poniesioną przez zamawiającego powstałą wskutek nieudostępnienia tych zasobów, chyba że za nieudostępnienie zasobów podmiot ten nie ponosi winy.</w:t>
      </w:r>
      <w:bookmarkEnd w:id="3"/>
    </w:p>
    <w:p>
      <w:pPr>
        <w:pStyle w:val="Normal"/>
        <w:suppressAutoHyphens w:val="false"/>
        <w:spacing w:lineRule="auto" w:line="276"/>
        <w:rPr>
          <w:rFonts w:ascii="Cambria" w:hAnsi="Cambria" w:eastAsia="Lucida Sans Unicode" w:cs="Arial"/>
          <w:sz w:val="22"/>
          <w:szCs w:val="22"/>
          <w:lang w:eastAsia="pl-PL"/>
        </w:rPr>
      </w:pPr>
      <w:r>
        <w:rPr>
          <w:rFonts w:eastAsia="Lucida Sans Unicode" w:cs="Arial" w:ascii="Cambria" w:hAnsi="Cambria"/>
          <w:sz w:val="22"/>
          <w:szCs w:val="22"/>
          <w:lang w:eastAsia="pl-PL"/>
        </w:rPr>
      </w:r>
    </w:p>
    <w:p>
      <w:pPr>
        <w:pStyle w:val="Normal"/>
        <w:numPr>
          <w:ilvl w:val="0"/>
          <w:numId w:val="1"/>
        </w:numPr>
        <w:spacing w:lineRule="auto" w:line="276" w:before="120" w:after="120"/>
        <w:jc w:val="both"/>
        <w:rPr/>
      </w:pPr>
      <w:r>
        <w:rPr>
          <w:rFonts w:cs="Arial" w:ascii="Cambria" w:hAnsi="Cambria"/>
          <w:b/>
          <w:sz w:val="22"/>
          <w:szCs w:val="22"/>
        </w:rPr>
        <w:t>DOKUMENTY SKŁADAJĄCE SIĘ NA OFERTĘ</w:t>
      </w:r>
    </w:p>
    <w:p>
      <w:pPr>
        <w:pStyle w:val="Normal"/>
        <w:numPr>
          <w:ilvl w:val="0"/>
          <w:numId w:val="5"/>
        </w:numPr>
        <w:tabs>
          <w:tab w:val="clear" w:pos="708"/>
          <w:tab w:val="left" w:pos="792" w:leader="none"/>
        </w:tabs>
        <w:spacing w:lineRule="auto" w:line="276" w:before="120" w:after="120"/>
        <w:jc w:val="both"/>
        <w:rPr/>
      </w:pPr>
      <w:r>
        <w:rPr>
          <w:rFonts w:cs="Arial" w:ascii="Cambria" w:hAnsi="Cambria"/>
          <w:sz w:val="22"/>
          <w:szCs w:val="22"/>
        </w:rPr>
        <w:t>Na ofertę składają się:</w:t>
      </w:r>
    </w:p>
    <w:p>
      <w:pPr>
        <w:pStyle w:val="Normal"/>
        <w:numPr>
          <w:ilvl w:val="0"/>
          <w:numId w:val="6"/>
        </w:numPr>
        <w:suppressAutoHyphens w:val="false"/>
        <w:spacing w:lineRule="auto" w:line="276" w:before="120" w:after="120"/>
        <w:jc w:val="both"/>
        <w:rPr/>
      </w:pPr>
      <w:r>
        <w:rPr>
          <w:rFonts w:cs="Arial" w:ascii="Cambria" w:hAnsi="Cambria"/>
          <w:b/>
          <w:bCs/>
          <w:sz w:val="22"/>
          <w:szCs w:val="22"/>
        </w:rPr>
        <w:t>formularz ofertowy</w:t>
      </w:r>
      <w:r>
        <w:rPr>
          <w:rFonts w:cs="Arial" w:ascii="Cambria" w:hAnsi="Cambria"/>
          <w:sz w:val="22"/>
          <w:szCs w:val="22"/>
        </w:rPr>
        <w:t xml:space="preserve"> stanowiący </w:t>
      </w:r>
      <w:r>
        <w:rPr>
          <w:rFonts w:cs="Arial" w:ascii="Cambria" w:hAnsi="Cambria"/>
          <w:b/>
          <w:sz w:val="22"/>
          <w:szCs w:val="22"/>
        </w:rPr>
        <w:t xml:space="preserve">załącznik nr 1 </w:t>
      </w:r>
      <w:r>
        <w:rPr>
          <w:rFonts w:cs="Arial" w:ascii="Cambria" w:hAnsi="Cambria"/>
          <w:sz w:val="22"/>
          <w:szCs w:val="22"/>
        </w:rPr>
        <w:t>do SWZ.</w:t>
      </w:r>
    </w:p>
    <w:p>
      <w:pPr>
        <w:pStyle w:val="Normal"/>
        <w:suppressAutoHyphens w:val="false"/>
        <w:spacing w:lineRule="auto" w:line="276" w:before="120" w:after="120"/>
        <w:ind w:left="360"/>
        <w:jc w:val="both"/>
        <w:rPr/>
      </w:pPr>
      <w:r>
        <w:rPr>
          <w:rFonts w:cs="Arial" w:ascii="Cambria" w:hAnsi="Cambria"/>
          <w:sz w:val="22"/>
          <w:szCs w:val="22"/>
        </w:rPr>
        <w:t>W przypadku jeżeli Wykonawca zamierza realizować zamówienie przy pomocy podwykonawcy/ów, w załączniku nr 1 do SWZ należy wskazać część zamówienia, którego wykonanie Wykonawca zamierza powierzyć podwykonawcy/om oraz podać nazwę ewentualnych podwykonawców, jeżeli są już znani.</w:t>
      </w:r>
    </w:p>
    <w:p>
      <w:pPr>
        <w:pStyle w:val="Normal"/>
        <w:numPr>
          <w:ilvl w:val="0"/>
          <w:numId w:val="5"/>
        </w:numPr>
        <w:suppressAutoHyphens w:val="false"/>
        <w:spacing w:lineRule="auto" w:line="276" w:before="120" w:after="120"/>
        <w:jc w:val="both"/>
        <w:rPr/>
      </w:pPr>
      <w:r>
        <w:rPr>
          <w:rFonts w:cs="Arial" w:ascii="Cambria" w:hAnsi="Cambria"/>
          <w:bCs/>
          <w:sz w:val="22"/>
          <w:szCs w:val="22"/>
          <w:shd w:fill="FFFFFF" w:val="clear"/>
        </w:rPr>
        <w:t>Wraz z ofertą Wykonawca składa</w:t>
      </w:r>
      <w:r>
        <w:rPr>
          <w:rFonts w:cs="Arial" w:ascii="Cambria" w:hAnsi="Cambria"/>
          <w:sz w:val="22"/>
          <w:szCs w:val="22"/>
          <w:shd w:fill="FFFFFF" w:val="clear"/>
        </w:rPr>
        <w:t xml:space="preserve"> aktualne na dzień składania ofert </w:t>
      </w:r>
      <w:r>
        <w:rPr>
          <w:rFonts w:cs="Arial" w:ascii="Cambria" w:hAnsi="Cambria"/>
          <w:b/>
          <w:bCs/>
          <w:sz w:val="22"/>
          <w:szCs w:val="22"/>
          <w:shd w:fill="FFFFFF" w:val="clear"/>
        </w:rPr>
        <w:t xml:space="preserve">oświadczenie </w:t>
      </w:r>
      <w:r>
        <w:rPr>
          <w:rFonts w:cs="Arial" w:ascii="Cambria" w:hAnsi="Cambria"/>
          <w:sz w:val="22"/>
          <w:szCs w:val="22"/>
          <w:shd w:fill="FFFFFF" w:val="clear"/>
        </w:rPr>
        <w:t>tymczasowo zastępujące podmiotowe środki dowodowe, o którym mowa w ust. 3, że:</w:t>
      </w:r>
    </w:p>
    <w:p>
      <w:pPr>
        <w:pStyle w:val="Normal"/>
        <w:numPr>
          <w:ilvl w:val="0"/>
          <w:numId w:val="6"/>
        </w:numPr>
        <w:suppressAutoHyphens w:val="false"/>
        <w:spacing w:lineRule="auto" w:line="276" w:before="120" w:after="120"/>
        <w:jc w:val="both"/>
        <w:rPr/>
      </w:pPr>
      <w:r>
        <w:rPr>
          <w:rFonts w:cs="Arial" w:ascii="Cambria" w:hAnsi="Cambria"/>
          <w:b/>
          <w:bCs/>
          <w:sz w:val="22"/>
          <w:szCs w:val="22"/>
        </w:rPr>
        <w:t>spełnia warunki udziału w postępowaniu</w:t>
      </w:r>
      <w:r>
        <w:rPr>
          <w:rFonts w:cs="Arial" w:ascii="Cambria" w:hAnsi="Cambria"/>
          <w:sz w:val="22"/>
          <w:szCs w:val="22"/>
        </w:rPr>
        <w:t xml:space="preserve"> (</w:t>
      </w:r>
      <w:r>
        <w:rPr>
          <w:rFonts w:cs="Arial" w:ascii="Cambria" w:hAnsi="Cambria"/>
          <w:bCs/>
          <w:sz w:val="22"/>
          <w:szCs w:val="22"/>
        </w:rPr>
        <w:t>w zakresie i zgodnie z wzorem określonym</w:t>
      </w:r>
      <w:r>
        <w:rPr>
          <w:rFonts w:cs="Arial" w:ascii="Cambria" w:hAnsi="Cambria"/>
          <w:sz w:val="22"/>
          <w:szCs w:val="22"/>
        </w:rPr>
        <w:t xml:space="preserve"> w </w:t>
      </w:r>
      <w:r>
        <w:rPr>
          <w:rFonts w:cs="Arial" w:ascii="Cambria" w:hAnsi="Cambria"/>
          <w:b/>
          <w:bCs/>
          <w:sz w:val="22"/>
          <w:szCs w:val="22"/>
        </w:rPr>
        <w:t>załączniku nr 2</w:t>
      </w:r>
      <w:r>
        <w:rPr>
          <w:rFonts w:cs="Arial" w:ascii="Cambria" w:hAnsi="Cambria"/>
          <w:sz w:val="22"/>
          <w:szCs w:val="22"/>
        </w:rPr>
        <w:t xml:space="preserve"> do SWZ),</w:t>
      </w:r>
    </w:p>
    <w:p>
      <w:pPr>
        <w:pStyle w:val="Normal"/>
        <w:numPr>
          <w:ilvl w:val="0"/>
          <w:numId w:val="6"/>
        </w:numPr>
        <w:suppressAutoHyphens w:val="false"/>
        <w:spacing w:lineRule="auto" w:line="276" w:before="120" w:after="120"/>
        <w:jc w:val="both"/>
        <w:rPr/>
      </w:pPr>
      <w:r>
        <w:rPr>
          <w:rFonts w:cs="Arial" w:ascii="Cambria" w:hAnsi="Cambria"/>
          <w:b/>
          <w:bCs/>
          <w:sz w:val="22"/>
          <w:szCs w:val="22"/>
        </w:rPr>
        <w:t>nie podlega wykluczeniu</w:t>
      </w:r>
      <w:r>
        <w:rPr>
          <w:rFonts w:cs="Arial" w:ascii="Cambria" w:hAnsi="Cambria"/>
          <w:sz w:val="22"/>
          <w:szCs w:val="22"/>
        </w:rPr>
        <w:t xml:space="preserve"> (</w:t>
      </w:r>
      <w:r>
        <w:rPr>
          <w:rFonts w:cs="Arial" w:ascii="Cambria" w:hAnsi="Cambria"/>
          <w:bCs/>
          <w:sz w:val="22"/>
          <w:szCs w:val="22"/>
        </w:rPr>
        <w:t xml:space="preserve">w zakresie i zgodnie z wzorem określonym </w:t>
        <w:br/>
        <w:t>w</w:t>
      </w:r>
      <w:r>
        <w:rPr>
          <w:rFonts w:cs="Arial" w:ascii="Cambria" w:hAnsi="Cambria"/>
          <w:sz w:val="22"/>
          <w:szCs w:val="22"/>
        </w:rPr>
        <w:t xml:space="preserve"> </w:t>
      </w:r>
      <w:r>
        <w:rPr>
          <w:rFonts w:cs="Arial" w:ascii="Cambria" w:hAnsi="Cambria"/>
          <w:b/>
          <w:bCs/>
          <w:sz w:val="22"/>
          <w:szCs w:val="22"/>
        </w:rPr>
        <w:t>załączniku nr 3</w:t>
      </w:r>
      <w:r>
        <w:rPr>
          <w:rFonts w:cs="Arial" w:ascii="Cambria" w:hAnsi="Cambria"/>
          <w:sz w:val="22"/>
          <w:szCs w:val="22"/>
        </w:rPr>
        <w:t xml:space="preserve"> do SWZ),</w:t>
      </w:r>
    </w:p>
    <w:p>
      <w:pPr>
        <w:pStyle w:val="Normal"/>
        <w:numPr>
          <w:ilvl w:val="0"/>
          <w:numId w:val="5"/>
        </w:numPr>
        <w:tabs>
          <w:tab w:val="clear" w:pos="708"/>
          <w:tab w:val="left" w:pos="792" w:leader="none"/>
        </w:tabs>
        <w:spacing w:lineRule="auto" w:line="276" w:before="120" w:after="120"/>
        <w:jc w:val="both"/>
        <w:rPr/>
      </w:pPr>
      <w:r>
        <w:rPr>
          <w:rFonts w:cs="Arial" w:ascii="Cambria" w:hAnsi="Cambria"/>
          <w:sz w:val="22"/>
          <w:szCs w:val="22"/>
        </w:rPr>
        <w:t xml:space="preserve">Wykonawca, w przypadku polegania na zdolnościach lub sytuacji podmiotów udostępniających zasoby, przedstawia, wraz z oświadczeniem, o którym mowa w ust. 2, także </w:t>
      </w:r>
      <w:r>
        <w:rPr>
          <w:rFonts w:cs="Arial" w:ascii="Cambria" w:hAnsi="Cambria"/>
          <w:sz w:val="22"/>
          <w:szCs w:val="22"/>
          <w:u w:val="single"/>
        </w:rPr>
        <w:t>oświadczenie podmiotu udostępniającego zasoby</w:t>
      </w:r>
      <w:r>
        <w:rPr>
          <w:rFonts w:cs="Arial" w:ascii="Cambria" w:hAnsi="Cambria"/>
          <w:sz w:val="22"/>
          <w:szCs w:val="22"/>
        </w:rPr>
        <w:t>, potwierdzające brak podstaw wykluczenia tego podmiotu oraz odpowiednio spełnianie warunków udziału w postępowaniu, w zakresie, w jakim wykonawca powołuje się na jego zasoby (załączniki nr 2 oraz 3).</w:t>
      </w:r>
    </w:p>
    <w:p>
      <w:pPr>
        <w:pStyle w:val="Normal"/>
        <w:numPr>
          <w:ilvl w:val="0"/>
          <w:numId w:val="5"/>
        </w:numPr>
        <w:suppressAutoHyphens w:val="false"/>
        <w:spacing w:lineRule="auto" w:line="276" w:before="120" w:after="120"/>
        <w:jc w:val="both"/>
        <w:rPr/>
      </w:pPr>
      <w:r>
        <w:rPr>
          <w:rFonts w:cs="Arial" w:ascii="Cambria" w:hAnsi="Cambria"/>
          <w:sz w:val="22"/>
          <w:szCs w:val="22"/>
          <w:shd w:fill="FFFFFF" w:val="clear"/>
        </w:rPr>
        <w:t>Wykonawca, który polega na zdolnościach lub sytuacji podmiotów udostępniających zasoby, składa,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p>
    <w:p>
      <w:pPr>
        <w:pStyle w:val="Normal"/>
        <w:numPr>
          <w:ilvl w:val="0"/>
          <w:numId w:val="5"/>
        </w:numPr>
        <w:suppressAutoHyphens w:val="false"/>
        <w:spacing w:lineRule="auto" w:line="276" w:before="120" w:after="120"/>
        <w:jc w:val="both"/>
        <w:rPr/>
      </w:pPr>
      <w:r>
        <w:rPr>
          <w:rFonts w:cs="Arial" w:ascii="Cambria" w:hAnsi="Cambria"/>
          <w:sz w:val="22"/>
          <w:szCs w:val="22"/>
          <w:shd w:fill="FFFFFF" w:val="clear"/>
        </w:rPr>
        <w:t>Zobowiązanie podmiotu udostępniającego zasoby, o którym mowa w ust. 3, potwierdza, że stosunek łączący wykonawcę z podmiotami udostępniającymi zasoby gwarantuje rzeczywisty dostęp do tych zasobów oraz określa w szczególności:</w:t>
      </w:r>
    </w:p>
    <w:p>
      <w:pPr>
        <w:pStyle w:val="Normal"/>
        <w:numPr>
          <w:ilvl w:val="1"/>
          <w:numId w:val="5"/>
        </w:numPr>
        <w:tabs>
          <w:tab w:val="clear" w:pos="708"/>
          <w:tab w:val="left" w:pos="792" w:leader="none"/>
        </w:tabs>
        <w:suppressAutoHyphens w:val="false"/>
        <w:spacing w:lineRule="auto" w:line="276" w:before="120" w:after="120"/>
        <w:ind w:hanging="432" w:left="792"/>
        <w:jc w:val="both"/>
        <w:rPr/>
      </w:pPr>
      <w:r>
        <w:rPr>
          <w:rFonts w:cs="Arial" w:ascii="Cambria" w:hAnsi="Cambria"/>
          <w:sz w:val="22"/>
          <w:szCs w:val="22"/>
          <w:shd w:fill="FFFFFF" w:val="clear"/>
        </w:rPr>
        <w:t>zakres dostępnych wykonawcy zasobów podmiotu udostępniającego zasoby;</w:t>
      </w:r>
    </w:p>
    <w:p>
      <w:pPr>
        <w:pStyle w:val="Normal"/>
        <w:numPr>
          <w:ilvl w:val="1"/>
          <w:numId w:val="5"/>
        </w:numPr>
        <w:tabs>
          <w:tab w:val="clear" w:pos="708"/>
          <w:tab w:val="left" w:pos="792" w:leader="none"/>
        </w:tabs>
        <w:suppressAutoHyphens w:val="false"/>
        <w:spacing w:lineRule="auto" w:line="276" w:before="120" w:after="120"/>
        <w:ind w:hanging="432" w:left="792"/>
        <w:jc w:val="both"/>
        <w:rPr/>
      </w:pPr>
      <w:r>
        <w:rPr>
          <w:rFonts w:cs="Arial" w:ascii="Cambria" w:hAnsi="Cambria"/>
          <w:sz w:val="22"/>
          <w:szCs w:val="22"/>
          <w:shd w:fill="FFFFFF" w:val="clear"/>
        </w:rPr>
        <w:t>sposób i okres udostępnienia wykonawcy i wykorzystania przez niego zasobów podmiotu udostępniającego te zasoby przy wykonywaniu zamówienia;</w:t>
      </w:r>
    </w:p>
    <w:p>
      <w:pPr>
        <w:pStyle w:val="Normal"/>
        <w:numPr>
          <w:ilvl w:val="1"/>
          <w:numId w:val="5"/>
        </w:numPr>
        <w:tabs>
          <w:tab w:val="clear" w:pos="708"/>
          <w:tab w:val="left" w:pos="792" w:leader="none"/>
        </w:tabs>
        <w:suppressAutoHyphens w:val="false"/>
        <w:spacing w:lineRule="auto" w:line="276" w:before="120" w:after="120"/>
        <w:ind w:hanging="432" w:left="792"/>
        <w:jc w:val="both"/>
        <w:rPr/>
      </w:pPr>
      <w:r>
        <w:rPr>
          <w:rFonts w:cs="Arial" w:ascii="Cambria" w:hAnsi="Cambria"/>
          <w:sz w:val="22"/>
          <w:szCs w:val="22"/>
          <w:shd w:fill="FFFFFF" w:val="clear"/>
        </w:rPr>
        <w:t>czy i w jakim zakresie podmiot udostępniający zasoby, na zdolnościach którego wykonawca polega w odniesieniu do warunków udziału w postępowaniu dotyczących wykształcenia, kwalifikacji zawodowych lub doświadczenia, zrealizuje roboty budowlane, których wskazane zdolności dotyczą.</w:t>
      </w:r>
    </w:p>
    <w:p>
      <w:pPr>
        <w:pStyle w:val="Normal"/>
        <w:numPr>
          <w:ilvl w:val="0"/>
          <w:numId w:val="5"/>
        </w:numPr>
        <w:tabs>
          <w:tab w:val="clear" w:pos="708"/>
          <w:tab w:val="left" w:pos="792" w:leader="none"/>
        </w:tabs>
        <w:spacing w:lineRule="auto" w:line="276" w:before="120" w:after="120"/>
        <w:jc w:val="both"/>
        <w:rPr/>
      </w:pPr>
      <w:r>
        <w:rPr>
          <w:rFonts w:cs="Arial" w:ascii="Cambria" w:hAnsi="Cambria"/>
          <w:sz w:val="22"/>
          <w:szCs w:val="22"/>
        </w:rPr>
        <w:t>Zamawiający oceni, czy udostępniane wykonawcy przez podmioty udostępniające zasoby zdolności techniczne lub zawodowe lub ich sytuacja finansowa lub ekonomiczna, pozwalają na wykazanie przez wykonawcę spełniania warunków udziału w postępowaniu, o których mowa w sekcji III pkt. 1.2, a także zbada, czy nie zachodzą wobec tego podmiotu podstawy wykluczenia, które zostały przewidziane względem wykonawcy.</w:t>
      </w:r>
    </w:p>
    <w:p>
      <w:pPr>
        <w:pStyle w:val="Normal"/>
        <w:numPr>
          <w:ilvl w:val="0"/>
          <w:numId w:val="5"/>
        </w:numPr>
        <w:tabs>
          <w:tab w:val="clear" w:pos="708"/>
          <w:tab w:val="left" w:pos="792" w:leader="none"/>
        </w:tabs>
        <w:spacing w:lineRule="auto" w:line="276" w:before="120" w:after="120"/>
        <w:jc w:val="both"/>
        <w:rPr/>
      </w:pPr>
      <w:r>
        <w:rPr>
          <w:rFonts w:cs="Arial" w:ascii="Cambria" w:hAnsi="Cambria"/>
          <w:b/>
          <w:bCs/>
          <w:sz w:val="22"/>
          <w:szCs w:val="22"/>
        </w:rPr>
        <w:t>Zamawiający wezwie wykonawcę, którego oferta została najwyżej oceniona</w:t>
      </w:r>
      <w:r>
        <w:rPr>
          <w:rFonts w:cs="Arial" w:ascii="Cambria" w:hAnsi="Cambria"/>
          <w:sz w:val="22"/>
          <w:szCs w:val="22"/>
        </w:rPr>
        <w:t>, do złożenia w wyznaczonym, nie krótszym niż 5 dni, terminie, aktualnych na dzień złożenia:</w:t>
      </w:r>
    </w:p>
    <w:p>
      <w:pPr>
        <w:pStyle w:val="Normal"/>
        <w:numPr>
          <w:ilvl w:val="1"/>
          <w:numId w:val="5"/>
        </w:numPr>
        <w:tabs>
          <w:tab w:val="clear" w:pos="708"/>
          <w:tab w:val="left" w:pos="851" w:leader="none"/>
          <w:tab w:val="left" w:pos="993" w:leader="none"/>
        </w:tabs>
        <w:spacing w:lineRule="auto" w:line="276" w:before="120" w:after="120"/>
        <w:ind w:hanging="425" w:left="851"/>
        <w:jc w:val="both"/>
        <w:rPr/>
      </w:pPr>
      <w:r>
        <w:rPr>
          <w:rFonts w:cs="Arial" w:ascii="Cambria" w:hAnsi="Cambria"/>
          <w:b/>
          <w:bCs/>
          <w:sz w:val="22"/>
          <w:szCs w:val="22"/>
          <w:shd w:fill="FFFFFF" w:val="clear"/>
        </w:rPr>
        <w:t>wykaz robót budowlanych</w:t>
      </w:r>
      <w:r>
        <w:rPr>
          <w:rFonts w:cs="Arial" w:ascii="Cambria" w:hAnsi="Cambria"/>
          <w:sz w:val="22"/>
          <w:szCs w:val="22"/>
          <w:shd w:fill="FFFFFF" w:val="clear"/>
        </w:rPr>
        <w:t xml:space="preserve"> wykonanych nie wcześniej niż w okresie ostatnich 5 lat, a jeżeli okres prowadzenia działalności jest krótszy - w tym okresie, wraz z podaniem ich rodzaju, wartości, daty i miejsca wykonania oraz podmiotów, na rzecz których roboty te zostały wyko</w:t>
      </w:r>
      <w:r>
        <w:rPr>
          <w:rFonts w:cs="Arial" w:ascii="Cambria" w:hAnsi="Cambria"/>
          <w:color w:val="000000"/>
          <w:sz w:val="22"/>
          <w:szCs w:val="22"/>
          <w:shd w:fill="FFFFFF" w:val="clear"/>
        </w:rPr>
        <w:t>nane, oraz załączeniem dowodów określających, czy te roboty budowlane zostały wykonane należycie, przy czym dowodami, o których mowa, są referencje bądź inne dokumenty sporządzone przez podmiot, na rzecz którego roboty budowlane zostały wykonane, a jeżeli wykonawca z przyczyn niezależnych od niego nie jest w stanie uzyskać tych dokumentów - inne odpowiednie dokumenty;</w:t>
      </w:r>
    </w:p>
    <w:p>
      <w:pPr>
        <w:pStyle w:val="Normal"/>
        <w:numPr>
          <w:ilvl w:val="1"/>
          <w:numId w:val="5"/>
        </w:numPr>
        <w:tabs>
          <w:tab w:val="clear" w:pos="708"/>
          <w:tab w:val="left" w:pos="851" w:leader="none"/>
          <w:tab w:val="left" w:pos="993" w:leader="none"/>
        </w:tabs>
        <w:spacing w:lineRule="auto" w:line="276" w:before="120" w:after="120"/>
        <w:ind w:hanging="425" w:left="851"/>
        <w:jc w:val="both"/>
        <w:rPr/>
      </w:pPr>
      <w:r>
        <w:rPr>
          <w:rFonts w:cs="Arial" w:ascii="Cambria" w:hAnsi="Cambria"/>
          <w:b/>
          <w:bCs/>
          <w:sz w:val="22"/>
          <w:szCs w:val="22"/>
          <w:shd w:fill="FFFFFF" w:val="clear"/>
        </w:rPr>
        <w:t>wykazu osób</w:t>
      </w:r>
      <w:r>
        <w:rPr>
          <w:rFonts w:cs="Arial" w:ascii="Cambria" w:hAnsi="Cambria"/>
          <w:sz w:val="22"/>
          <w:szCs w:val="22"/>
          <w:shd w:fill="FFFFFF" w:val="clear"/>
        </w:rPr>
        <w:t>, skierowanych przez wykonawcę do realizacji zamówienia publicznego, w szczególności odpowiedzialnych za świadczenie usług, kontrolę jakości lub kierowanie robotami budowlanymi, wraz z informacjami na temat ich kwalifikacji zawodowych, uprawnień, doświadczenia i wykształcenia niezbędnych do wykonania zamówienia publicznego, a także zakresu wykonywanych przez nie czynności oraz informacją o podstawie do dysponowania tymi osobami;</w:t>
      </w:r>
    </w:p>
    <w:p>
      <w:pPr>
        <w:pStyle w:val="Normal"/>
        <w:numPr>
          <w:ilvl w:val="0"/>
          <w:numId w:val="5"/>
        </w:numPr>
        <w:tabs>
          <w:tab w:val="clear" w:pos="708"/>
          <w:tab w:val="left" w:pos="792" w:leader="none"/>
        </w:tabs>
        <w:spacing w:lineRule="auto" w:line="276" w:before="120" w:after="120"/>
        <w:jc w:val="both"/>
        <w:rPr/>
      </w:pPr>
      <w:r>
        <w:rPr>
          <w:rFonts w:cs="Arial" w:ascii="Cambria" w:hAnsi="Cambria"/>
          <w:sz w:val="22"/>
          <w:szCs w:val="22"/>
        </w:rPr>
        <w:t xml:space="preserve">Podmiotowe środki dowodowe oraz inne dokumenty lub oświadczenia, o których mowa w rozporządzeniu, składa się w formie elektronicznej, w postaci elektronicznej opatrzonej podpisem zaufanym lub podpisem osobistym, w formie pisemnej lub w formie dokumentowej, w zakresie i w sposób określony w przepisach wydanych na podstawie </w:t>
        <w:br/>
      </w:r>
      <w:r>
        <w:fldChar w:fldCharType="begin"/>
      </w:r>
      <w:r>
        <w:rPr>
          <w:rStyle w:val="Style8"/>
          <w:sz w:val="22"/>
          <w:szCs w:val="22"/>
          <w:rFonts w:cs="Arial" w:ascii="Cambria" w:hAnsi="Cambria"/>
        </w:rPr>
        <w:instrText xml:space="preserve"> HYPERLINK "https://sip.lex.pl/" \l "/document/18903829?unitId=art(70)&amp;cm=DOCUMENT"</w:instrText>
      </w:r>
      <w:r>
        <w:rPr>
          <w:rStyle w:val="Style8"/>
          <w:sz w:val="22"/>
          <w:szCs w:val="22"/>
          <w:rFonts w:cs="Arial" w:ascii="Cambria" w:hAnsi="Cambria"/>
        </w:rPr>
        <w:fldChar w:fldCharType="separate"/>
      </w:r>
      <w:r>
        <w:rPr>
          <w:rStyle w:val="Style8"/>
          <w:rFonts w:cs="Arial" w:ascii="Cambria" w:hAnsi="Cambria"/>
          <w:sz w:val="22"/>
          <w:szCs w:val="22"/>
        </w:rPr>
        <w:t>art. 70</w:t>
      </w:r>
      <w:r>
        <w:rPr>
          <w:rStyle w:val="Style8"/>
          <w:sz w:val="22"/>
          <w:szCs w:val="22"/>
          <w:rFonts w:cs="Arial" w:ascii="Cambria" w:hAnsi="Cambria"/>
        </w:rPr>
        <w:fldChar w:fldCharType="end"/>
      </w:r>
      <w:r>
        <w:rPr>
          <w:rFonts w:cs="Arial" w:ascii="Cambria" w:hAnsi="Cambria"/>
          <w:sz w:val="22"/>
          <w:szCs w:val="22"/>
        </w:rPr>
        <w:t xml:space="preserve"> p.z.p.</w:t>
      </w:r>
    </w:p>
    <w:p>
      <w:pPr>
        <w:pStyle w:val="Normal"/>
        <w:spacing w:lineRule="auto" w:line="276"/>
        <w:rPr>
          <w:rFonts w:ascii="Cambria" w:hAnsi="Cambria" w:cs="Arial"/>
          <w:sz w:val="22"/>
          <w:szCs w:val="22"/>
        </w:rPr>
      </w:pPr>
      <w:r>
        <w:rPr>
          <w:rFonts w:cs="Arial" w:ascii="Cambria" w:hAnsi="Cambria"/>
          <w:sz w:val="22"/>
          <w:szCs w:val="22"/>
        </w:rPr>
      </w:r>
    </w:p>
    <w:p>
      <w:pPr>
        <w:pStyle w:val="Normal"/>
        <w:numPr>
          <w:ilvl w:val="0"/>
          <w:numId w:val="1"/>
        </w:numPr>
        <w:spacing w:lineRule="auto" w:line="276" w:before="120" w:after="120"/>
        <w:jc w:val="both"/>
        <w:rPr/>
      </w:pPr>
      <w:r>
        <w:rPr>
          <w:rFonts w:cs="Arial" w:ascii="Cambria" w:hAnsi="Cambria"/>
          <w:b/>
          <w:sz w:val="22"/>
          <w:szCs w:val="22"/>
        </w:rPr>
        <w:t>WYKONAWCY WSPÓLNIE UBIEGAJĄCY SIĘ O UDZIELENIE ZAMÓWIENIA</w:t>
      </w:r>
    </w:p>
    <w:p>
      <w:pPr>
        <w:pStyle w:val="Normal"/>
        <w:numPr>
          <w:ilvl w:val="0"/>
          <w:numId w:val="3"/>
        </w:numPr>
        <w:tabs>
          <w:tab w:val="clear" w:pos="708"/>
          <w:tab w:val="left" w:pos="360" w:leader="none"/>
          <w:tab w:val="left" w:pos="792" w:leader="none"/>
        </w:tabs>
        <w:spacing w:lineRule="auto" w:line="276" w:before="120" w:after="120"/>
        <w:ind w:hanging="357" w:left="357"/>
        <w:jc w:val="both"/>
        <w:rPr/>
      </w:pPr>
      <w:r>
        <w:rPr>
          <w:rFonts w:cs="Arial" w:ascii="Cambria" w:hAnsi="Cambria"/>
          <w:bCs/>
          <w:sz w:val="22"/>
          <w:szCs w:val="22"/>
        </w:rPr>
        <w:t>Wykonawcy mogą wspólnie ubiegać się o udzielenie zamówienia.</w:t>
      </w:r>
    </w:p>
    <w:p>
      <w:pPr>
        <w:pStyle w:val="Normal"/>
        <w:numPr>
          <w:ilvl w:val="0"/>
          <w:numId w:val="3"/>
        </w:numPr>
        <w:tabs>
          <w:tab w:val="clear" w:pos="708"/>
          <w:tab w:val="left" w:pos="360" w:leader="none"/>
          <w:tab w:val="left" w:pos="792" w:leader="none"/>
        </w:tabs>
        <w:spacing w:lineRule="auto" w:line="276" w:before="120" w:after="120"/>
        <w:ind w:hanging="357" w:left="357"/>
        <w:jc w:val="both"/>
        <w:rPr/>
      </w:pPr>
      <w:r>
        <w:rPr>
          <w:rFonts w:cs="Arial" w:ascii="Cambria" w:hAnsi="Cambria"/>
          <w:bCs/>
          <w:sz w:val="22"/>
          <w:szCs w:val="22"/>
        </w:rPr>
        <w:t>W przypadku, o którym mowa w ust. 1, wykonawcy ustanawiają pełnomocnika do reprezentowania ich w postępowaniu o udzielenie zamówienia albo do reprezentowania w postępowaniu i zawarcia umowy w sprawie zamówienia publicznego.</w:t>
      </w:r>
    </w:p>
    <w:p>
      <w:pPr>
        <w:pStyle w:val="Normal"/>
        <w:numPr>
          <w:ilvl w:val="0"/>
          <w:numId w:val="3"/>
        </w:numPr>
        <w:tabs>
          <w:tab w:val="clear" w:pos="708"/>
          <w:tab w:val="left" w:pos="360" w:leader="none"/>
          <w:tab w:val="left" w:pos="792" w:leader="none"/>
        </w:tabs>
        <w:spacing w:lineRule="auto" w:line="276" w:before="120" w:after="120"/>
        <w:ind w:hanging="357" w:left="357"/>
        <w:jc w:val="both"/>
        <w:rPr/>
      </w:pPr>
      <w:r>
        <w:rPr>
          <w:rFonts w:cs="Arial" w:ascii="Cambria" w:hAnsi="Cambria"/>
          <w:bCs/>
          <w:sz w:val="22"/>
          <w:szCs w:val="22"/>
        </w:rPr>
        <w:t>W przypadku wspólnego ubiegania się o zamówienie przez wykonawców, oświadczenia, o których mowa w sekcji IV ust. 2, składa każdy z wykonawców. Oświadczenia te potwierdzają brak podstaw wykluczenia oraz spełnianie warunków udziału w postępowaniu, w zakresie w jakim każdy z wykonawców wykazuje spełnianie warunków udziału w postępowaniu lub kryteriów selekcji.</w:t>
      </w:r>
    </w:p>
    <w:p>
      <w:pPr>
        <w:pStyle w:val="Normal"/>
        <w:numPr>
          <w:ilvl w:val="0"/>
          <w:numId w:val="3"/>
        </w:numPr>
        <w:tabs>
          <w:tab w:val="clear" w:pos="708"/>
          <w:tab w:val="left" w:pos="360" w:leader="none"/>
          <w:tab w:val="left" w:pos="792" w:leader="none"/>
        </w:tabs>
        <w:spacing w:lineRule="auto" w:line="276" w:before="120" w:after="120"/>
        <w:ind w:hanging="357" w:left="357"/>
        <w:jc w:val="both"/>
        <w:rPr/>
      </w:pPr>
      <w:r>
        <w:rPr>
          <w:rFonts w:cs="Arial" w:ascii="Cambria" w:hAnsi="Cambria"/>
          <w:bCs/>
          <w:sz w:val="22"/>
          <w:szCs w:val="22"/>
        </w:rPr>
        <w:t>W przypadku wspólnego ubiegania się Wykonawców o udzielenie zamówienia, do oferty należy dołączyć pełnomocnictwo sporządzone w formie pisemnej, określające osobę pełnomocnika, zakres reprezentacji oraz zawierające wskazanie postępowania o udzielenie niniejszego zamówienia.</w:t>
      </w:r>
      <w:r>
        <w:rPr>
          <w:rFonts w:cs="Arial" w:ascii="Cambria" w:hAnsi="Cambria"/>
          <w:sz w:val="22"/>
          <w:szCs w:val="22"/>
        </w:rPr>
        <w:t xml:space="preserve"> Pełnomocnictwo należy załączyć w formie oryginału lub kopii poświadczonej notarialnie</w:t>
      </w:r>
      <w:r>
        <w:rPr>
          <w:rFonts w:cs="Arial" w:ascii="Cambria" w:hAnsi="Cambria"/>
          <w:b/>
          <w:sz w:val="22"/>
          <w:szCs w:val="22"/>
        </w:rPr>
        <w:t>.</w:t>
      </w:r>
      <w:r>
        <w:rPr>
          <w:rFonts w:cs="Arial" w:ascii="Cambria" w:hAnsi="Cambria"/>
          <w:sz w:val="22"/>
          <w:szCs w:val="22"/>
        </w:rPr>
        <w:t xml:space="preserve"> </w:t>
      </w:r>
    </w:p>
    <w:p>
      <w:pPr>
        <w:pStyle w:val="Normal"/>
        <w:numPr>
          <w:ilvl w:val="0"/>
          <w:numId w:val="3"/>
        </w:numPr>
        <w:tabs>
          <w:tab w:val="clear" w:pos="708"/>
          <w:tab w:val="left" w:pos="360" w:leader="none"/>
          <w:tab w:val="left" w:pos="792" w:leader="none"/>
        </w:tabs>
        <w:spacing w:lineRule="auto" w:line="276" w:before="120" w:after="120"/>
        <w:jc w:val="both"/>
        <w:rPr/>
      </w:pPr>
      <w:r>
        <w:rPr>
          <w:rFonts w:cs="Arial" w:ascii="Cambria" w:hAnsi="Cambria"/>
          <w:bCs/>
          <w:sz w:val="22"/>
          <w:szCs w:val="22"/>
        </w:rPr>
        <w:t>Sposób składania oświadczeń i dokumentów przez Wykonawców wspólnie ubiegających się o udzielenie zamówienia:</w:t>
      </w:r>
    </w:p>
    <w:p>
      <w:pPr>
        <w:pStyle w:val="Normal"/>
        <w:numPr>
          <w:ilvl w:val="1"/>
          <w:numId w:val="3"/>
        </w:numPr>
        <w:tabs>
          <w:tab w:val="clear" w:pos="708"/>
          <w:tab w:val="left" w:pos="360" w:leader="none"/>
          <w:tab w:val="left" w:pos="567" w:leader="none"/>
        </w:tabs>
        <w:spacing w:lineRule="auto" w:line="276" w:before="120" w:after="120"/>
        <w:ind w:hanging="431" w:left="788"/>
        <w:jc w:val="both"/>
        <w:rPr/>
      </w:pPr>
      <w:r>
        <w:rPr>
          <w:rFonts w:cs="Arial" w:ascii="Cambria" w:hAnsi="Cambria"/>
          <w:bCs/>
          <w:sz w:val="22"/>
          <w:szCs w:val="22"/>
        </w:rPr>
        <w:t xml:space="preserve">Dokumenty braku podstaw do wykluczenia </w:t>
      </w:r>
      <w:r>
        <w:rPr>
          <w:rFonts w:cs="Arial" w:ascii="Cambria" w:hAnsi="Cambria"/>
          <w:sz w:val="22"/>
          <w:szCs w:val="22"/>
        </w:rPr>
        <w:t>każdy z Wykonawców wspólnie ubiegających się o udzielenie zamówienia składa osobno.</w:t>
      </w:r>
    </w:p>
    <w:p>
      <w:pPr>
        <w:pStyle w:val="Normal"/>
        <w:numPr>
          <w:ilvl w:val="1"/>
          <w:numId w:val="3"/>
        </w:numPr>
        <w:tabs>
          <w:tab w:val="clear" w:pos="708"/>
          <w:tab w:val="left" w:pos="360" w:leader="none"/>
          <w:tab w:val="left" w:pos="567" w:leader="none"/>
        </w:tabs>
        <w:spacing w:lineRule="auto" w:line="276" w:before="120" w:after="120"/>
        <w:ind w:hanging="431" w:left="788"/>
        <w:jc w:val="both"/>
        <w:rPr/>
      </w:pPr>
      <w:r>
        <w:rPr>
          <w:rFonts w:cs="Arial" w:ascii="Cambria" w:hAnsi="Cambria"/>
          <w:bCs/>
          <w:sz w:val="22"/>
          <w:szCs w:val="22"/>
        </w:rPr>
        <w:t xml:space="preserve"> </w:t>
      </w:r>
      <w:r>
        <w:rPr>
          <w:rFonts w:cs="Arial" w:ascii="Cambria" w:hAnsi="Cambria"/>
          <w:bCs/>
          <w:sz w:val="22"/>
          <w:szCs w:val="22"/>
        </w:rPr>
        <w:t>Dokumenty potwierdzające spełnienia postawionych przez Zamawiającego warunków, składają ci z Wykonawców wspólnie ubiegających się o udzielenie zamówienia, którzy odpowiadają za ich spełnienie.</w:t>
      </w:r>
    </w:p>
    <w:p>
      <w:pPr>
        <w:pStyle w:val="Normal"/>
        <w:numPr>
          <w:ilvl w:val="1"/>
          <w:numId w:val="3"/>
        </w:numPr>
        <w:tabs>
          <w:tab w:val="clear" w:pos="708"/>
          <w:tab w:val="left" w:pos="360" w:leader="none"/>
          <w:tab w:val="left" w:pos="576" w:leader="none"/>
        </w:tabs>
        <w:spacing w:lineRule="auto" w:line="276" w:before="120" w:after="120"/>
        <w:ind w:hanging="431" w:left="788"/>
        <w:jc w:val="both"/>
        <w:rPr/>
      </w:pPr>
      <w:r>
        <w:rPr>
          <w:rFonts w:cs="Arial" w:ascii="Cambria" w:hAnsi="Cambria"/>
          <w:bCs/>
          <w:sz w:val="22"/>
          <w:szCs w:val="22"/>
        </w:rPr>
        <w:t xml:space="preserve"> </w:t>
      </w:r>
      <w:r>
        <w:rPr>
          <w:rFonts w:cs="Arial" w:ascii="Cambria" w:hAnsi="Cambria"/>
          <w:bCs/>
          <w:sz w:val="22"/>
          <w:szCs w:val="22"/>
        </w:rPr>
        <w:t>Ofertę składa (podpisuje) pełnomocnik w imieniu wszystkich Wykonawców wspólnie ubiegających się o udzielenie zamówienia lub wszyscy Wykonawcy wspólnie ubiegający się o udzielenie zamówienia na zasadach ogólnych;</w:t>
      </w:r>
    </w:p>
    <w:p>
      <w:pPr>
        <w:pStyle w:val="Normal"/>
        <w:numPr>
          <w:ilvl w:val="0"/>
          <w:numId w:val="3"/>
        </w:numPr>
        <w:tabs>
          <w:tab w:val="clear" w:pos="708"/>
          <w:tab w:val="left" w:pos="360" w:leader="none"/>
          <w:tab w:val="left" w:pos="576" w:leader="none"/>
          <w:tab w:val="left" w:pos="792" w:leader="none"/>
        </w:tabs>
        <w:spacing w:lineRule="auto" w:line="276" w:before="120" w:after="120"/>
        <w:jc w:val="both"/>
        <w:rPr/>
      </w:pPr>
      <w:r>
        <w:rPr>
          <w:rFonts w:cs="Arial" w:ascii="Cambria" w:hAnsi="Cambria"/>
          <w:bCs/>
          <w:sz w:val="22"/>
          <w:szCs w:val="22"/>
        </w:rPr>
        <w:t>W odniesieniu do warunków dotyczących wykształcenia, kwalifikacji zawodowych lub doświadczenia wykonawcy wspólnie ubiegający się o udzielenie zamówienia mogą polegać na zdolnościach tych z wykonawców, którzy wykonają roboty budowlane lub usługi, do realizacji których te zdolności są wymagane.</w:t>
      </w:r>
    </w:p>
    <w:p>
      <w:pPr>
        <w:pStyle w:val="Normal"/>
        <w:numPr>
          <w:ilvl w:val="0"/>
          <w:numId w:val="3"/>
        </w:numPr>
        <w:tabs>
          <w:tab w:val="clear" w:pos="708"/>
          <w:tab w:val="left" w:pos="360" w:leader="none"/>
          <w:tab w:val="left" w:pos="576" w:leader="none"/>
          <w:tab w:val="left" w:pos="792" w:leader="none"/>
        </w:tabs>
        <w:spacing w:lineRule="auto" w:line="276" w:before="120" w:after="120"/>
        <w:jc w:val="both"/>
        <w:rPr/>
      </w:pPr>
      <w:bookmarkStart w:id="5" w:name="mip59347023"/>
      <w:bookmarkEnd w:id="5"/>
      <w:r>
        <w:rPr>
          <w:rFonts w:cs="Arial" w:ascii="Cambria" w:hAnsi="Cambria"/>
          <w:bCs/>
          <w:sz w:val="22"/>
          <w:szCs w:val="22"/>
        </w:rPr>
        <w:t>W przypadku, o którym mowa w pkt. 6, wykonawcy wspólnie ubiegający się o udzielenie zamówienia oświadczają w treści oferty, które roboty budowlane, dostawy lub usługi wykonają poszczególni wykonawcy.</w:t>
      </w:r>
    </w:p>
    <w:p>
      <w:pPr>
        <w:pStyle w:val="Normal"/>
        <w:spacing w:lineRule="auto" w:line="276"/>
        <w:rPr>
          <w:rFonts w:ascii="Cambria" w:hAnsi="Cambria" w:cs="Arial"/>
          <w:bCs/>
          <w:sz w:val="22"/>
          <w:szCs w:val="22"/>
        </w:rPr>
      </w:pPr>
      <w:r>
        <w:rPr>
          <w:rFonts w:cs="Arial" w:ascii="Cambria" w:hAnsi="Cambria"/>
          <w:bCs/>
          <w:sz w:val="22"/>
          <w:szCs w:val="22"/>
        </w:rPr>
      </w:r>
    </w:p>
    <w:p>
      <w:pPr>
        <w:pStyle w:val="Normal"/>
        <w:numPr>
          <w:ilvl w:val="0"/>
          <w:numId w:val="1"/>
        </w:numPr>
        <w:spacing w:lineRule="auto" w:line="276" w:before="120" w:after="120"/>
        <w:jc w:val="both"/>
        <w:rPr/>
      </w:pPr>
      <w:r>
        <w:rPr>
          <w:rFonts w:cs="Arial" w:ascii="Cambria" w:hAnsi="Cambria"/>
          <w:b/>
          <w:sz w:val="22"/>
          <w:szCs w:val="22"/>
        </w:rPr>
        <w:t xml:space="preserve">OCENA SPEŁNIANIA WARUNKÓW UDZIAŁU W POSTĘPOWANIU </w:t>
      </w:r>
    </w:p>
    <w:p>
      <w:pPr>
        <w:pStyle w:val="Normal"/>
        <w:numPr>
          <w:ilvl w:val="0"/>
          <w:numId w:val="19"/>
        </w:numPr>
        <w:tabs>
          <w:tab w:val="clear" w:pos="708"/>
          <w:tab w:val="left" w:pos="360" w:leader="none"/>
          <w:tab w:val="left" w:pos="792" w:leader="none"/>
        </w:tabs>
        <w:spacing w:lineRule="auto" w:line="276"/>
        <w:jc w:val="both"/>
        <w:rPr/>
      </w:pPr>
      <w:r>
        <w:rPr>
          <w:rFonts w:cs="Arial" w:ascii="Cambria" w:hAnsi="Cambria"/>
          <w:bCs/>
          <w:sz w:val="22"/>
          <w:szCs w:val="22"/>
        </w:rPr>
        <w:t>Ocena spełniania warunków udziału w postępowaniu oraz braku podstaw do wykluczenia zostanie dokonana na podstawie – wymienionych w sekcji IV SWZ – podmiotowych środków dowodowych, aktualnych na dzień ich złożenia.</w:t>
      </w:r>
    </w:p>
    <w:p>
      <w:pPr>
        <w:pStyle w:val="Normal"/>
        <w:numPr>
          <w:ilvl w:val="0"/>
          <w:numId w:val="19"/>
        </w:numPr>
        <w:tabs>
          <w:tab w:val="clear" w:pos="708"/>
          <w:tab w:val="left" w:pos="360" w:leader="none"/>
          <w:tab w:val="left" w:pos="792" w:leader="none"/>
        </w:tabs>
        <w:spacing w:lineRule="auto" w:line="276"/>
        <w:jc w:val="both"/>
        <w:rPr/>
      </w:pPr>
      <w:r>
        <w:rPr>
          <w:rFonts w:cs="Arial" w:ascii="Cambria" w:hAnsi="Cambria"/>
          <w:bCs/>
          <w:sz w:val="22"/>
          <w:szCs w:val="22"/>
        </w:rPr>
        <w:t>Jeżeli zachodzą uzasadnione podstawy do uznania, że złożone uprzednio podmiotowe środki dowodowe nie są już aktualne, Zamawiający może w każdym czasie wezwać wykonawcę lub wykonawców do złożenia wszystkich lub niektórych podmiotowych środków dowodowych, aktualnych na dzień ich złożenia.</w:t>
      </w:r>
    </w:p>
    <w:p>
      <w:pPr>
        <w:pStyle w:val="Normal"/>
        <w:numPr>
          <w:ilvl w:val="0"/>
          <w:numId w:val="19"/>
        </w:numPr>
        <w:tabs>
          <w:tab w:val="clear" w:pos="708"/>
          <w:tab w:val="left" w:pos="360" w:leader="none"/>
          <w:tab w:val="left" w:pos="792" w:leader="none"/>
        </w:tabs>
        <w:spacing w:lineRule="auto" w:line="276"/>
        <w:jc w:val="both"/>
        <w:rPr/>
      </w:pPr>
      <w:r>
        <w:rPr>
          <w:rFonts w:cs="Arial" w:ascii="Cambria" w:hAnsi="Cambria"/>
          <w:bCs/>
          <w:sz w:val="22"/>
          <w:szCs w:val="22"/>
        </w:rPr>
        <w:t xml:space="preserve">Zamawiający nie wzywa do złożenia podmiotowych środków dowodowych, jeżeli może je uzyskać za pomocą bezpłatnych i ogólnodostępnych baz danych, w szczególności rejestrów publicznych w rozumieniu </w:t>
      </w:r>
      <w:r>
        <w:fldChar w:fldCharType="begin"/>
      </w:r>
      <w:r>
        <w:rPr>
          <w:rStyle w:val="Style8"/>
          <w:sz w:val="22"/>
          <w:szCs w:val="22"/>
          <w:bCs/>
          <w:rFonts w:cs="Arial" w:ascii="Cambria" w:hAnsi="Cambria"/>
        </w:rPr>
        <w:instrText xml:space="preserve"> HYPERLINK "https://sip.lex.pl/" \l "_blank"</w:instrText>
      </w:r>
      <w:r>
        <w:rPr>
          <w:rStyle w:val="Style8"/>
          <w:sz w:val="22"/>
          <w:szCs w:val="22"/>
          <w:bCs/>
          <w:rFonts w:cs="Arial" w:ascii="Cambria" w:hAnsi="Cambria"/>
        </w:rPr>
        <w:fldChar w:fldCharType="separate"/>
      </w:r>
      <w:r>
        <w:rPr>
          <w:rStyle w:val="Style8"/>
          <w:rFonts w:cs="Arial" w:ascii="Cambria" w:hAnsi="Cambria"/>
          <w:bCs/>
          <w:sz w:val="22"/>
          <w:szCs w:val="22"/>
        </w:rPr>
        <w:t>ustawy</w:t>
      </w:r>
      <w:r>
        <w:rPr>
          <w:rStyle w:val="Style8"/>
          <w:sz w:val="22"/>
          <w:szCs w:val="22"/>
          <w:bCs/>
          <w:rFonts w:cs="Arial" w:ascii="Cambria" w:hAnsi="Cambria"/>
        </w:rPr>
        <w:fldChar w:fldCharType="end"/>
      </w:r>
      <w:r>
        <w:rPr>
          <w:rFonts w:cs="Arial" w:ascii="Cambria" w:hAnsi="Cambria"/>
          <w:bCs/>
          <w:sz w:val="22"/>
          <w:szCs w:val="22"/>
        </w:rPr>
        <w:t xml:space="preserve"> z dnia 17 lutego 2005 r. o informatyzacji działalności podmiotów realizujących zadania publiczne, o ile wykonawca wskazał w oświadczeniu, </w:t>
        <w:br/>
        <w:t>o którym mowa w art. 125 u  st. 1, dane umożliwiające dostęp do tych środków.</w:t>
      </w:r>
    </w:p>
    <w:p>
      <w:pPr>
        <w:pStyle w:val="Normal"/>
        <w:tabs>
          <w:tab w:val="clear" w:pos="708"/>
          <w:tab w:val="left" w:pos="851" w:leader="none"/>
        </w:tabs>
        <w:spacing w:lineRule="auto" w:line="276"/>
        <w:ind w:left="576"/>
        <w:jc w:val="both"/>
        <w:rPr>
          <w:rFonts w:ascii="Cambria" w:hAnsi="Cambria" w:cs="Arial"/>
          <w:sz w:val="22"/>
          <w:szCs w:val="22"/>
          <w:highlight w:val="white"/>
        </w:rPr>
      </w:pPr>
      <w:r>
        <w:rPr>
          <w:rFonts w:cs="Arial" w:ascii="Cambria" w:hAnsi="Cambria"/>
          <w:sz w:val="22"/>
          <w:szCs w:val="22"/>
          <w:highlight w:val="white"/>
        </w:rPr>
      </w:r>
    </w:p>
    <w:p>
      <w:pPr>
        <w:pStyle w:val="Normal"/>
        <w:numPr>
          <w:ilvl w:val="0"/>
          <w:numId w:val="1"/>
        </w:numPr>
        <w:spacing w:lineRule="auto" w:line="276" w:before="120" w:after="120"/>
        <w:jc w:val="both"/>
        <w:rPr/>
      </w:pPr>
      <w:r>
        <w:rPr>
          <w:rFonts w:cs="Arial" w:ascii="Cambria" w:hAnsi="Cambria"/>
          <w:b/>
          <w:sz w:val="22"/>
          <w:szCs w:val="22"/>
        </w:rPr>
        <w:t>INFORMACJE OGÓLNE DOTYCZĄCE OFERT</w:t>
      </w:r>
    </w:p>
    <w:p>
      <w:pPr>
        <w:pStyle w:val="Normal"/>
        <w:numPr>
          <w:ilvl w:val="0"/>
          <w:numId w:val="29"/>
        </w:numPr>
        <w:tabs>
          <w:tab w:val="clear" w:pos="708"/>
          <w:tab w:val="left" w:pos="851" w:leader="none"/>
        </w:tabs>
        <w:suppressAutoHyphens w:val="false"/>
        <w:spacing w:lineRule="auto" w:line="276"/>
        <w:jc w:val="both"/>
        <w:rPr/>
      </w:pPr>
      <w:r>
        <w:rPr>
          <w:rFonts w:ascii="Cambria" w:hAnsi="Cambria"/>
          <w:sz w:val="22"/>
          <w:szCs w:val="22"/>
        </w:rPr>
        <w:t>Ofertę należy sporządzić w języku polskim.</w:t>
      </w:r>
    </w:p>
    <w:p>
      <w:pPr>
        <w:pStyle w:val="Normal"/>
        <w:numPr>
          <w:ilvl w:val="0"/>
          <w:numId w:val="29"/>
        </w:numPr>
        <w:tabs>
          <w:tab w:val="clear" w:pos="708"/>
          <w:tab w:val="left" w:pos="851" w:leader="none"/>
        </w:tabs>
        <w:suppressAutoHyphens w:val="false"/>
        <w:spacing w:lineRule="auto" w:line="276"/>
        <w:jc w:val="both"/>
        <w:rPr/>
      </w:pPr>
      <w:r>
        <w:rPr>
          <w:rFonts w:ascii="Cambria" w:hAnsi="Cambria"/>
          <w:color w:themeColor="text1" w:val="000000"/>
          <w:sz w:val="22"/>
          <w:szCs w:val="22"/>
        </w:rPr>
        <w:t>W przedmiotowym postępowaniu Zamawiający nie udostępnił interaktywnego „Formularza ofertowego” Platformie e-Zamówienia.</w:t>
      </w:r>
    </w:p>
    <w:p>
      <w:pPr>
        <w:pStyle w:val="Normal"/>
        <w:tabs>
          <w:tab w:val="clear" w:pos="708"/>
          <w:tab w:val="left" w:pos="851" w:leader="none"/>
        </w:tabs>
        <w:suppressAutoHyphens w:val="false"/>
        <w:spacing w:lineRule="auto" w:line="276"/>
        <w:ind w:left="576"/>
        <w:jc w:val="both"/>
        <w:rPr/>
      </w:pPr>
      <w:r>
        <w:rPr>
          <w:rFonts w:ascii="Cambria" w:hAnsi="Cambria"/>
          <w:color w:themeColor="text1" w:val="000000"/>
          <w:sz w:val="22"/>
          <w:szCs w:val="22"/>
        </w:rPr>
        <w:t xml:space="preserve">Aby przygotować ofertę, Wykonawca musi posiadać konto na platformie e -Zamówienia, </w:t>
        <w:br/>
        <w:t>o którym mowa w sekcji II ust. 4 SWZ.</w:t>
      </w:r>
    </w:p>
    <w:p>
      <w:pPr>
        <w:pStyle w:val="WW-Domylnie"/>
        <w:tabs>
          <w:tab w:val="left" w:pos="708" w:leader="none"/>
          <w:tab w:val="left" w:pos="851" w:leader="none"/>
        </w:tabs>
        <w:spacing w:lineRule="auto" w:line="276" w:before="120" w:after="120"/>
        <w:ind w:left="576"/>
        <w:jc w:val="both"/>
        <w:rPr/>
      </w:pPr>
      <w:r>
        <w:rPr>
          <w:rStyle w:val="FontStyle28"/>
          <w:rFonts w:cs="Times New Roman" w:ascii="Cambria" w:hAnsi="Cambria"/>
          <w:color w:themeColor="text1" w:val="000000"/>
          <w:sz w:val="22"/>
          <w:szCs w:val="22"/>
        </w:rPr>
        <w:t xml:space="preserve">Wykonawca składa ofertę poprzez wypełnienie formularz udostępnionego </w:t>
        <w:br/>
        <w:t xml:space="preserve">w formacie .docx  </w:t>
      </w:r>
    </w:p>
    <w:p>
      <w:pPr>
        <w:pStyle w:val="WW-Domylnie"/>
        <w:tabs>
          <w:tab w:val="left" w:pos="708" w:leader="none"/>
          <w:tab w:val="left" w:pos="851" w:leader="none"/>
        </w:tabs>
        <w:spacing w:lineRule="auto" w:line="276" w:before="120" w:after="120"/>
        <w:ind w:left="576"/>
        <w:jc w:val="both"/>
        <w:rPr/>
      </w:pPr>
      <w:r>
        <w:rPr>
          <w:rFonts w:ascii="Cambria" w:hAnsi="Cambria"/>
          <w:color w:themeColor="text1" w:val="000000"/>
          <w:sz w:val="22"/>
          <w:szCs w:val="22"/>
        </w:rPr>
        <w:t xml:space="preserve">Wykonawca składa ofertę za pośrednictwem portalu e-Zamówienia poprzez zakładkę „Oferty/wnioski”, widoczną w podglądzie postępowania po zalogowaniu się na konto Wykonawcy. Po wybraniu przycisku „Złóż ofertę” system prezentuje okno składania oferty umożliwiające przekazanie dokumentów elektronicznych, w którym znajdują się dwa pola drag&amp;drop („przeciągnij” i „upuść”) służące do dodawania plików. </w:t>
      </w:r>
    </w:p>
    <w:p>
      <w:pPr>
        <w:pStyle w:val="WW-Domylnie"/>
        <w:tabs>
          <w:tab w:val="left" w:pos="708" w:leader="none"/>
          <w:tab w:val="left" w:pos="851" w:leader="none"/>
        </w:tabs>
        <w:spacing w:lineRule="auto" w:line="276" w:before="120" w:after="120"/>
        <w:ind w:left="576"/>
        <w:jc w:val="both"/>
        <w:rPr/>
      </w:pPr>
      <w:r>
        <w:rPr>
          <w:rFonts w:ascii="Cambria" w:hAnsi="Cambria"/>
          <w:color w:themeColor="text1" w:val="000000"/>
          <w:sz w:val="22"/>
          <w:szCs w:val="22"/>
        </w:rPr>
        <w:t>Wykonawca dodaje wybrany z dysku i uprzednio podpisany „Formularz oferty” w pierwszym polu („Wypełniony formularz oferty”). W kolejnym polu („Załączniki i inne dokumenty przedstawione w ofercie przez Wykonawcę”) wykonawca dodaje pozostałe pliki stanowiące ofertę lub składane wraz z ofertą.</w:t>
      </w:r>
    </w:p>
    <w:p>
      <w:pPr>
        <w:pStyle w:val="Normal"/>
        <w:numPr>
          <w:ilvl w:val="0"/>
          <w:numId w:val="29"/>
        </w:numPr>
        <w:tabs>
          <w:tab w:val="clear" w:pos="708"/>
          <w:tab w:val="left" w:pos="851" w:leader="none"/>
        </w:tabs>
        <w:suppressAutoHyphens w:val="false"/>
        <w:spacing w:lineRule="auto" w:line="276"/>
        <w:jc w:val="both"/>
        <w:rPr/>
      </w:pPr>
      <w:r>
        <w:rPr>
          <w:rFonts w:ascii="Cambria" w:hAnsi="Cambria"/>
          <w:sz w:val="22"/>
          <w:szCs w:val="22"/>
        </w:rPr>
        <w:t xml:space="preserve">Zalogowany Wykonawca po użyciu przycisku „Wypełnij” określa, czy składa ofertę pojedynczo, czy w konsorcjum z innymi Wykonawcami. </w:t>
      </w:r>
    </w:p>
    <w:p>
      <w:pPr>
        <w:pStyle w:val="Normal"/>
        <w:numPr>
          <w:ilvl w:val="0"/>
          <w:numId w:val="29"/>
        </w:numPr>
        <w:tabs>
          <w:tab w:val="clear" w:pos="708"/>
          <w:tab w:val="left" w:pos="851" w:leader="none"/>
        </w:tabs>
        <w:suppressAutoHyphens w:val="false"/>
        <w:spacing w:lineRule="auto" w:line="276"/>
        <w:jc w:val="both"/>
        <w:rPr/>
      </w:pPr>
      <w:r>
        <w:rPr>
          <w:rFonts w:ascii="Cambria" w:hAnsi="Cambria"/>
          <w:sz w:val="22"/>
          <w:szCs w:val="22"/>
        </w:rPr>
        <w:t>Wykonawca zobowiązany jest do zweryfikowania poprawności danych automatycznie pobranych przez system z jego konta i uzupełnienia pozostałych informacji dotyczących Wykonawcy/Wykonawców.</w:t>
      </w:r>
    </w:p>
    <w:p>
      <w:pPr>
        <w:pStyle w:val="Normal"/>
        <w:numPr>
          <w:ilvl w:val="0"/>
          <w:numId w:val="29"/>
        </w:numPr>
        <w:tabs>
          <w:tab w:val="clear" w:pos="708"/>
          <w:tab w:val="left" w:pos="851" w:leader="none"/>
        </w:tabs>
        <w:suppressAutoHyphens w:val="false"/>
        <w:spacing w:lineRule="auto" w:line="276"/>
        <w:jc w:val="both"/>
        <w:rPr/>
      </w:pPr>
      <w:r>
        <w:rPr>
          <w:rFonts w:ascii="Cambria" w:hAnsi="Cambria"/>
          <w:sz w:val="22"/>
          <w:szCs w:val="22"/>
        </w:rPr>
        <w:t xml:space="preserve">Formularz oferty oraz oświadczenia o spełnianiu warunków udziału w postępowaniu </w:t>
        <w:br/>
        <w:t xml:space="preserve">i braku podstaw wykluczenia z postępowania składa się, pod rygorem nieważności </w:t>
        <w:br/>
        <w:t>w postaci elektronicznej opatrzonej:</w:t>
      </w:r>
    </w:p>
    <w:p>
      <w:pPr>
        <w:pStyle w:val="Normal"/>
        <w:numPr>
          <w:ilvl w:val="0"/>
          <w:numId w:val="30"/>
        </w:numPr>
        <w:tabs>
          <w:tab w:val="clear" w:pos="708"/>
          <w:tab w:val="left" w:pos="851" w:leader="none"/>
        </w:tabs>
        <w:suppressAutoHyphens w:val="false"/>
        <w:spacing w:lineRule="auto" w:line="276"/>
        <w:jc w:val="both"/>
        <w:rPr/>
      </w:pPr>
      <w:r>
        <w:rPr>
          <w:rFonts w:ascii="Cambria" w:hAnsi="Cambria"/>
          <w:sz w:val="22"/>
          <w:szCs w:val="22"/>
        </w:rPr>
        <w:t>kwalifikowanym podpisem elektronicznym lub</w:t>
      </w:r>
    </w:p>
    <w:p>
      <w:pPr>
        <w:pStyle w:val="Normal"/>
        <w:numPr>
          <w:ilvl w:val="0"/>
          <w:numId w:val="30"/>
        </w:numPr>
        <w:tabs>
          <w:tab w:val="clear" w:pos="708"/>
          <w:tab w:val="left" w:pos="851" w:leader="none"/>
        </w:tabs>
        <w:suppressAutoHyphens w:val="false"/>
        <w:spacing w:lineRule="auto" w:line="276"/>
        <w:jc w:val="both"/>
        <w:rPr/>
      </w:pPr>
      <w:r>
        <w:rPr>
          <w:rFonts w:ascii="Cambria" w:hAnsi="Cambria"/>
          <w:sz w:val="22"/>
          <w:szCs w:val="22"/>
        </w:rPr>
        <w:t>podpisem zaufanym lub</w:t>
      </w:r>
    </w:p>
    <w:p>
      <w:pPr>
        <w:pStyle w:val="Normal"/>
        <w:numPr>
          <w:ilvl w:val="0"/>
          <w:numId w:val="30"/>
        </w:numPr>
        <w:tabs>
          <w:tab w:val="clear" w:pos="708"/>
          <w:tab w:val="left" w:pos="851" w:leader="none"/>
        </w:tabs>
        <w:suppressAutoHyphens w:val="false"/>
        <w:spacing w:lineRule="auto" w:line="276"/>
        <w:jc w:val="both"/>
        <w:rPr/>
      </w:pPr>
      <w:r>
        <w:rPr>
          <w:rFonts w:ascii="Cambria" w:hAnsi="Cambria"/>
          <w:sz w:val="22"/>
          <w:szCs w:val="22"/>
        </w:rPr>
        <w:t>podpisem osobistym (e-dowód).</w:t>
      </w:r>
    </w:p>
    <w:p>
      <w:pPr>
        <w:pStyle w:val="Normal"/>
        <w:spacing w:lineRule="auto" w:line="276"/>
        <w:ind w:left="680"/>
        <w:jc w:val="both"/>
        <w:rPr/>
      </w:pPr>
      <w:r>
        <w:rPr>
          <w:rFonts w:ascii="Cambria" w:hAnsi="Cambria"/>
          <w:sz w:val="22"/>
          <w:szCs w:val="22"/>
        </w:rPr>
        <w:t>Oferta musi być podpisana przez osobę/osoby uprawnioną do reprezentacji Wykonawcy. Do oferty należy dołączyć pełnomocnictwo do reprezentowania Wykonawcy, w tym podpisania oferty, o ile prawo do podpisania oferty nie wynika z dokumentów rejestrowych Wykonawcy.</w:t>
      </w:r>
    </w:p>
    <w:p>
      <w:pPr>
        <w:pStyle w:val="Normal"/>
        <w:numPr>
          <w:ilvl w:val="1"/>
          <w:numId w:val="31"/>
        </w:numPr>
        <w:spacing w:lineRule="auto" w:line="276"/>
        <w:jc w:val="both"/>
        <w:rPr/>
      </w:pPr>
      <w:r>
        <w:rPr>
          <w:rFonts w:ascii="Cambria" w:hAnsi="Cambria"/>
          <w:sz w:val="22"/>
          <w:szCs w:val="22"/>
        </w:rPr>
        <w:t>pełnomocnictwo sporządza się w postaci elektronicznej i opatruje kwalifikowanym podpisem elektronicznym, podpisem zaufanym lub podpisem osobistym;</w:t>
      </w:r>
    </w:p>
    <w:p>
      <w:pPr>
        <w:pStyle w:val="Normal"/>
        <w:numPr>
          <w:ilvl w:val="1"/>
          <w:numId w:val="31"/>
        </w:numPr>
        <w:spacing w:lineRule="auto" w:line="276"/>
        <w:jc w:val="both"/>
        <w:rPr/>
      </w:pPr>
      <w:r>
        <w:rPr>
          <w:rFonts w:ascii="Cambria" w:hAnsi="Cambria"/>
          <w:sz w:val="22"/>
          <w:szCs w:val="22"/>
        </w:rPr>
        <w:t>w przypadku gdy pełnomocnictwo, zostało sporządzone jako dokument w postaci papierowej i opatrzone własnoręcznym podpisem, przekazuje się cyfrowe odwzorowanie tego dokumentu (skan) opatrzone kwalifikowanym podpisem elektronicznym, podpisem zaufanym lub podpisem osobistym, poświadczającym zgodność cyfrowego odwzorowania z dokumentem w postaci papierowej. Poświadczenia zgodności cyfrowego odwzorowania z dokumentem w postaci papierowej, dokonuje mocodawca lub notariusz;</w:t>
      </w:r>
    </w:p>
    <w:p>
      <w:pPr>
        <w:pStyle w:val="Normal"/>
        <w:numPr>
          <w:ilvl w:val="0"/>
          <w:numId w:val="29"/>
        </w:numPr>
        <w:tabs>
          <w:tab w:val="clear" w:pos="708"/>
          <w:tab w:val="left" w:pos="851" w:leader="none"/>
        </w:tabs>
        <w:suppressAutoHyphens w:val="false"/>
        <w:spacing w:lineRule="auto" w:line="276"/>
        <w:jc w:val="both"/>
        <w:rPr/>
      </w:pPr>
      <w:r>
        <w:rPr>
          <w:rFonts w:ascii="Cambria" w:hAnsi="Cambria"/>
          <w:sz w:val="22"/>
          <w:szCs w:val="22"/>
        </w:rPr>
        <w:t>Po podpisaniu nie należy modyfikować pliku.</w:t>
      </w:r>
    </w:p>
    <w:p>
      <w:pPr>
        <w:pStyle w:val="Normal"/>
        <w:numPr>
          <w:ilvl w:val="0"/>
          <w:numId w:val="29"/>
        </w:numPr>
        <w:tabs>
          <w:tab w:val="clear" w:pos="708"/>
          <w:tab w:val="left" w:pos="851" w:leader="none"/>
        </w:tabs>
        <w:suppressAutoHyphens w:val="false"/>
        <w:spacing w:lineRule="auto" w:line="276"/>
        <w:jc w:val="both"/>
        <w:rPr/>
      </w:pPr>
      <w:r>
        <w:rPr>
          <w:rFonts w:ascii="Cambria" w:hAnsi="Cambria"/>
          <w:sz w:val="22"/>
          <w:szCs w:val="22"/>
        </w:rPr>
        <w:t>Nie należy zmieniać nazwy pliku formularza.</w:t>
      </w:r>
    </w:p>
    <w:p>
      <w:pPr>
        <w:pStyle w:val="Normal"/>
        <w:numPr>
          <w:ilvl w:val="0"/>
          <w:numId w:val="29"/>
        </w:numPr>
        <w:tabs>
          <w:tab w:val="clear" w:pos="708"/>
          <w:tab w:val="left" w:pos="851" w:leader="none"/>
        </w:tabs>
        <w:suppressAutoHyphens w:val="false"/>
        <w:spacing w:lineRule="auto" w:line="276"/>
        <w:jc w:val="both"/>
        <w:rPr/>
      </w:pPr>
      <w:r>
        <w:rPr>
          <w:rFonts w:ascii="Cambria" w:hAnsi="Cambria"/>
          <w:sz w:val="22"/>
          <w:szCs w:val="22"/>
        </w:rPr>
        <w:t>W przypadku przekazywania dokumentu elektronicznego w formacie poddającym dane kompresji, opatrzenie pliku zawierającego skompresowane dokumenty, kwalifikowanym podpisem elektronicznym, podpisem zaufanym lub podpisem osobistym, jest równoznaczne z opatrzeniem wszystkich dokumentów zawartych w tym pliku odpowiednio kwalifikowanym podpisem elektronicznym, podpisem zaufanym lub podpisem osobistym.</w:t>
      </w:r>
    </w:p>
    <w:p>
      <w:pPr>
        <w:pStyle w:val="Normal"/>
        <w:numPr>
          <w:ilvl w:val="0"/>
          <w:numId w:val="29"/>
        </w:numPr>
        <w:tabs>
          <w:tab w:val="clear" w:pos="708"/>
          <w:tab w:val="left" w:pos="851" w:leader="none"/>
        </w:tabs>
        <w:suppressAutoHyphens w:val="false"/>
        <w:spacing w:lineRule="auto" w:line="276"/>
        <w:jc w:val="both"/>
        <w:rPr/>
      </w:pPr>
      <w:r>
        <w:rPr>
          <w:rFonts w:ascii="Cambria" w:hAnsi="Cambria"/>
          <w:sz w:val="22"/>
          <w:szCs w:val="22"/>
        </w:rPr>
        <w:t xml:space="preserve">Jeżeli dokumenty elektroniczne, przekazywane przy użyciu środków komunikacji elektronicznej, zawierają informacje stanowiące tajemnicę przedsiębiorstwa w rozumieniu przepisów ustawy z dnia 16 kwietnia 1993 r. o zwalczaniu nieuczciwej konkurencji, Wykonawca, w celu utrzymania w poufności tych informacji, przekazuje je w wydzielonym i odpowiednio oznaczonym pliku, wraz z jednoczesnym zaznaczeniem polecenia „Załącznik stanowiący tajemnicę przedsiębiorstwa” a następnie wraz z plikami stanowiącymi jawną część należy ten plik zaszyfrować. </w:t>
      </w:r>
    </w:p>
    <w:p>
      <w:pPr>
        <w:pStyle w:val="Normal"/>
        <w:numPr>
          <w:ilvl w:val="0"/>
          <w:numId w:val="29"/>
        </w:numPr>
        <w:tabs>
          <w:tab w:val="clear" w:pos="708"/>
          <w:tab w:val="left" w:pos="851" w:leader="none"/>
        </w:tabs>
        <w:suppressAutoHyphens w:val="false"/>
        <w:spacing w:lineRule="auto" w:line="276"/>
        <w:jc w:val="both"/>
        <w:rPr/>
      </w:pPr>
      <w:r>
        <w:rPr>
          <w:rFonts w:ascii="Cambria" w:hAnsi="Cambria"/>
          <w:sz w:val="22"/>
          <w:szCs w:val="22"/>
        </w:rPr>
        <w:t>Do oferty należy dołączyć oświadczenie o niepodleganiu wykluczeniu, spełnianiu warunków udziału w postępowaniu lub kryteriów selekcji, w zakresie wskazanym w sekcji IV ust. 1 niniejszej SWZ, w formie elektronicznej lub w postaci elektronicznej opatrzonej zaufanym lub podpisem osobistym, a następnie zaszyfrować wraz z plikami stanowiącymi ofertę.</w:t>
      </w:r>
    </w:p>
    <w:p>
      <w:pPr>
        <w:pStyle w:val="Normal"/>
        <w:numPr>
          <w:ilvl w:val="0"/>
          <w:numId w:val="29"/>
        </w:numPr>
        <w:tabs>
          <w:tab w:val="clear" w:pos="708"/>
          <w:tab w:val="left" w:pos="851" w:leader="none"/>
        </w:tabs>
        <w:suppressAutoHyphens w:val="false"/>
        <w:spacing w:lineRule="auto" w:line="276"/>
        <w:jc w:val="both"/>
        <w:rPr/>
      </w:pPr>
      <w:r>
        <w:rPr>
          <w:rFonts w:ascii="Cambria" w:hAnsi="Cambria"/>
          <w:sz w:val="22"/>
          <w:szCs w:val="22"/>
        </w:rPr>
        <w:t xml:space="preserve">Oferta może być złożona tylko do upływu terminu składania ofert. </w:t>
      </w:r>
    </w:p>
    <w:p>
      <w:pPr>
        <w:pStyle w:val="Normal"/>
        <w:numPr>
          <w:ilvl w:val="0"/>
          <w:numId w:val="29"/>
        </w:numPr>
        <w:tabs>
          <w:tab w:val="clear" w:pos="708"/>
          <w:tab w:val="left" w:pos="851" w:leader="none"/>
        </w:tabs>
        <w:suppressAutoHyphens w:val="false"/>
        <w:spacing w:lineRule="auto" w:line="276"/>
        <w:jc w:val="both"/>
        <w:rPr/>
      </w:pPr>
      <w:r>
        <w:rPr>
          <w:rFonts w:ascii="Cambria" w:hAnsi="Cambria"/>
          <w:sz w:val="22"/>
          <w:szCs w:val="22"/>
        </w:rPr>
        <w:t>Wykonawca może przed upływem terminu do składania ofert wycofać ofertę. Wykonawca wycofuje ofertę w zakładce „Oferty/wnioski” używając przycisku „Wycofaj ofertę”. Po potwierdzeniu oferta zostanie wycofana i będzie można pobrać dokument potwierdzający wycofanie oferty, tzw. Elektroniczne Potwierdzenie Wycofania (EPW).</w:t>
      </w:r>
    </w:p>
    <w:p>
      <w:pPr>
        <w:pStyle w:val="Normal"/>
        <w:numPr>
          <w:ilvl w:val="0"/>
          <w:numId w:val="29"/>
        </w:numPr>
        <w:tabs>
          <w:tab w:val="clear" w:pos="708"/>
          <w:tab w:val="left" w:pos="851" w:leader="none"/>
        </w:tabs>
        <w:suppressAutoHyphens w:val="false"/>
        <w:spacing w:lineRule="auto" w:line="276"/>
        <w:jc w:val="both"/>
        <w:rPr/>
      </w:pPr>
      <w:r>
        <w:rPr>
          <w:rFonts w:ascii="Cambria" w:hAnsi="Cambria"/>
          <w:sz w:val="22"/>
          <w:szCs w:val="22"/>
        </w:rPr>
        <w:t>Wykonawca po upływie terminu do składania ofert nie może skutecznie dokonać zmiany ani wycofać</w:t>
      </w:r>
      <w:r>
        <w:rPr>
          <w:rFonts w:ascii="Cambria" w:hAnsi="Cambria"/>
          <w:color w:val="000000"/>
          <w:sz w:val="22"/>
          <w:szCs w:val="22"/>
        </w:rPr>
        <w:t xml:space="preserve"> złożonej oferty.</w:t>
      </w:r>
    </w:p>
    <w:p>
      <w:pPr>
        <w:pStyle w:val="Normal"/>
        <w:numPr>
          <w:ilvl w:val="0"/>
          <w:numId w:val="29"/>
        </w:numPr>
        <w:tabs>
          <w:tab w:val="clear" w:pos="708"/>
          <w:tab w:val="left" w:pos="851" w:leader="none"/>
        </w:tabs>
        <w:suppressAutoHyphens w:val="false"/>
        <w:spacing w:lineRule="auto" w:line="276"/>
        <w:jc w:val="both"/>
        <w:rPr/>
      </w:pPr>
      <w:r>
        <w:rPr>
          <w:rFonts w:ascii="Cambria" w:hAnsi="Cambria"/>
          <w:color w:val="000000"/>
          <w:sz w:val="22"/>
          <w:szCs w:val="22"/>
        </w:rPr>
        <w:t xml:space="preserve">Termin składania ofert upływa </w:t>
      </w:r>
      <w:r>
        <w:rPr>
          <w:rFonts w:ascii="Cambria" w:hAnsi="Cambria"/>
          <w:b/>
          <w:bCs/>
          <w:color w:val="000000"/>
          <w:sz w:val="22"/>
          <w:szCs w:val="22"/>
        </w:rPr>
        <w:t>19.03.2026 r.</w:t>
      </w:r>
      <w:r>
        <w:rPr>
          <w:rFonts w:ascii="Cambria" w:hAnsi="Cambria"/>
          <w:color w:val="000000"/>
          <w:sz w:val="22"/>
          <w:szCs w:val="22"/>
        </w:rPr>
        <w:t xml:space="preserve"> o</w:t>
      </w:r>
      <w:r>
        <w:rPr>
          <w:rFonts w:ascii="Cambria" w:hAnsi="Cambria"/>
          <w:b/>
          <w:color w:val="000000"/>
          <w:sz w:val="22"/>
          <w:szCs w:val="22"/>
        </w:rPr>
        <w:t xml:space="preserve"> godz. 10</w:t>
      </w:r>
      <w:r>
        <w:rPr>
          <w:rFonts w:ascii="Cambria" w:hAnsi="Cambria"/>
          <w:b/>
          <w:color w:val="000000"/>
          <w:sz w:val="22"/>
          <w:szCs w:val="22"/>
          <w:vertAlign w:val="superscript"/>
        </w:rPr>
        <w:t>00</w:t>
      </w:r>
    </w:p>
    <w:p>
      <w:pPr>
        <w:pStyle w:val="Normal"/>
        <w:numPr>
          <w:ilvl w:val="0"/>
          <w:numId w:val="29"/>
        </w:numPr>
        <w:tabs>
          <w:tab w:val="clear" w:pos="708"/>
          <w:tab w:val="left" w:pos="851" w:leader="none"/>
        </w:tabs>
        <w:suppressAutoHyphens w:val="false"/>
        <w:spacing w:lineRule="auto" w:line="276"/>
        <w:jc w:val="both"/>
        <w:rPr/>
      </w:pPr>
      <w:r>
        <w:rPr>
          <w:rFonts w:ascii="Cambria" w:hAnsi="Cambria"/>
          <w:bCs/>
          <w:color w:val="000000"/>
          <w:sz w:val="22"/>
          <w:szCs w:val="22"/>
        </w:rPr>
        <w:t xml:space="preserve">Termin otwarcia ofert nastąpi </w:t>
      </w:r>
      <w:r>
        <w:rPr>
          <w:rFonts w:ascii="Cambria" w:hAnsi="Cambria"/>
          <w:b/>
          <w:bCs/>
          <w:color w:val="000000"/>
          <w:sz w:val="22"/>
          <w:szCs w:val="22"/>
        </w:rPr>
        <w:t>19.03.2026</w:t>
      </w:r>
      <w:r>
        <w:rPr>
          <w:rFonts w:ascii="Cambria" w:hAnsi="Cambria"/>
          <w:bCs/>
          <w:color w:val="000000"/>
          <w:sz w:val="22"/>
          <w:szCs w:val="22"/>
        </w:rPr>
        <w:t xml:space="preserve"> </w:t>
      </w:r>
      <w:r>
        <w:rPr>
          <w:rFonts w:ascii="Cambria" w:hAnsi="Cambria"/>
          <w:b/>
          <w:color w:val="000000"/>
          <w:sz w:val="22"/>
          <w:szCs w:val="22"/>
        </w:rPr>
        <w:t>r.</w:t>
      </w:r>
      <w:r>
        <w:rPr>
          <w:rFonts w:ascii="Cambria" w:hAnsi="Cambria"/>
          <w:bCs/>
          <w:color w:val="000000"/>
          <w:sz w:val="22"/>
          <w:szCs w:val="22"/>
        </w:rPr>
        <w:t xml:space="preserve"> o</w:t>
      </w:r>
      <w:r>
        <w:rPr>
          <w:rFonts w:ascii="Cambria" w:hAnsi="Cambria"/>
          <w:b/>
          <w:color w:val="000000"/>
          <w:sz w:val="22"/>
          <w:szCs w:val="22"/>
        </w:rPr>
        <w:t xml:space="preserve"> godz. 11</w:t>
      </w:r>
      <w:r>
        <w:rPr>
          <w:rFonts w:ascii="Cambria" w:hAnsi="Cambria"/>
          <w:b/>
          <w:color w:val="000000"/>
          <w:sz w:val="22"/>
          <w:szCs w:val="22"/>
          <w:vertAlign w:val="superscript"/>
        </w:rPr>
        <w:t>00</w:t>
      </w:r>
    </w:p>
    <w:p>
      <w:pPr>
        <w:pStyle w:val="Normal"/>
        <w:numPr>
          <w:ilvl w:val="0"/>
          <w:numId w:val="29"/>
        </w:numPr>
        <w:tabs>
          <w:tab w:val="clear" w:pos="708"/>
          <w:tab w:val="left" w:pos="851" w:leader="none"/>
        </w:tabs>
        <w:suppressAutoHyphens w:val="false"/>
        <w:spacing w:lineRule="auto" w:line="276"/>
        <w:jc w:val="both"/>
        <w:rPr/>
      </w:pPr>
      <w:r>
        <w:rPr>
          <w:rFonts w:eastAsia="Cambria" w:ascii="Cambria" w:hAnsi="Cambria"/>
          <w:color w:val="000000"/>
          <w:sz w:val="22"/>
          <w:szCs w:val="22"/>
        </w:rPr>
        <w:t xml:space="preserve"> </w:t>
      </w:r>
      <w:r>
        <w:rPr>
          <w:rFonts w:ascii="Cambria" w:hAnsi="Cambria"/>
          <w:color w:val="000000"/>
          <w:sz w:val="22"/>
          <w:szCs w:val="22"/>
        </w:rPr>
        <w:t>Oferta może</w:t>
      </w:r>
      <w:r>
        <w:rPr>
          <w:rFonts w:ascii="Cambria" w:hAnsi="Cambria"/>
          <w:sz w:val="22"/>
          <w:szCs w:val="22"/>
        </w:rPr>
        <w:t xml:space="preserve"> być złożona tylko do upływu terminu składania ofert.</w:t>
      </w:r>
    </w:p>
    <w:p>
      <w:pPr>
        <w:pStyle w:val="Normal"/>
        <w:numPr>
          <w:ilvl w:val="0"/>
          <w:numId w:val="29"/>
        </w:numPr>
        <w:tabs>
          <w:tab w:val="clear" w:pos="708"/>
          <w:tab w:val="left" w:pos="851" w:leader="none"/>
        </w:tabs>
        <w:suppressAutoHyphens w:val="false"/>
        <w:spacing w:lineRule="auto" w:line="276"/>
        <w:jc w:val="both"/>
        <w:rPr/>
      </w:pPr>
      <w:r>
        <w:rPr>
          <w:rFonts w:eastAsia="Cambria" w:ascii="Cambria" w:hAnsi="Cambria"/>
          <w:sz w:val="22"/>
          <w:szCs w:val="22"/>
        </w:rPr>
        <w:t xml:space="preserve"> </w:t>
      </w:r>
      <w:r>
        <w:rPr>
          <w:rFonts w:ascii="Cambria" w:hAnsi="Cambria"/>
          <w:sz w:val="22"/>
          <w:szCs w:val="22"/>
        </w:rPr>
        <w:t>Do upływu terminu składania ofert wykonawca może wycofać ofertę.</w:t>
      </w:r>
    </w:p>
    <w:p>
      <w:pPr>
        <w:pStyle w:val="Normal"/>
        <w:numPr>
          <w:ilvl w:val="0"/>
          <w:numId w:val="29"/>
        </w:numPr>
        <w:tabs>
          <w:tab w:val="clear" w:pos="708"/>
          <w:tab w:val="left" w:pos="851" w:leader="none"/>
        </w:tabs>
        <w:suppressAutoHyphens w:val="false"/>
        <w:spacing w:lineRule="auto" w:line="276"/>
        <w:jc w:val="both"/>
        <w:rPr/>
      </w:pPr>
      <w:r>
        <w:rPr>
          <w:rFonts w:eastAsia="Cambria" w:ascii="Cambria" w:hAnsi="Cambria"/>
          <w:sz w:val="22"/>
          <w:szCs w:val="22"/>
        </w:rPr>
        <w:t xml:space="preserve"> </w:t>
      </w:r>
      <w:r>
        <w:rPr>
          <w:rFonts w:ascii="Cambria" w:hAnsi="Cambria"/>
          <w:sz w:val="22"/>
          <w:szCs w:val="22"/>
        </w:rPr>
        <w:t>Otwarcie ofert zostanie dokonane za pośrednictwem Systemu przy użyciu certyfikatów niekwalifikowanych dwóch Użytkowników Wewnętrznych.</w:t>
      </w:r>
    </w:p>
    <w:p>
      <w:pPr>
        <w:pStyle w:val="Normal"/>
        <w:numPr>
          <w:ilvl w:val="0"/>
          <w:numId w:val="29"/>
        </w:numPr>
        <w:tabs>
          <w:tab w:val="clear" w:pos="708"/>
          <w:tab w:val="left" w:pos="851" w:leader="none"/>
        </w:tabs>
        <w:suppressAutoHyphens w:val="false"/>
        <w:spacing w:lineRule="auto" w:line="276"/>
        <w:jc w:val="both"/>
        <w:rPr/>
      </w:pPr>
      <w:r>
        <w:rPr>
          <w:rFonts w:eastAsia="Cambria" w:ascii="Cambria" w:hAnsi="Cambria"/>
          <w:sz w:val="22"/>
          <w:szCs w:val="22"/>
        </w:rPr>
        <w:t xml:space="preserve"> </w:t>
      </w:r>
      <w:r>
        <w:rPr>
          <w:rFonts w:ascii="Cambria" w:hAnsi="Cambria"/>
          <w:sz w:val="22"/>
          <w:szCs w:val="22"/>
        </w:rPr>
        <w:t xml:space="preserve">Niezwłocznie po otwarciu ofert Zamawiający zamieści w Systemie informacje o: </w:t>
      </w:r>
    </w:p>
    <w:p>
      <w:pPr>
        <w:pStyle w:val="ListParagraph"/>
        <w:numPr>
          <w:ilvl w:val="0"/>
          <w:numId w:val="28"/>
        </w:numPr>
        <w:tabs>
          <w:tab w:val="clear" w:pos="708"/>
          <w:tab w:val="left" w:pos="851" w:leader="none"/>
        </w:tabs>
        <w:spacing w:lineRule="auto" w:line="276"/>
        <w:ind w:hanging="425" w:left="1134"/>
        <w:jc w:val="both"/>
        <w:rPr/>
      </w:pPr>
      <w:r>
        <w:rPr>
          <w:rFonts w:ascii="Cambria" w:hAnsi="Cambria"/>
          <w:sz w:val="22"/>
          <w:szCs w:val="22"/>
        </w:rPr>
        <w:t xml:space="preserve">nazwach albo imionach i nazwiskach oraz siedzibach lub miejscach prowadzonej działalności gospodarczej </w:t>
      </w:r>
      <w:r>
        <w:rPr>
          <w:rFonts w:ascii="Cambria" w:hAnsi="Cambria"/>
          <w:color w:val="000000"/>
          <w:sz w:val="22"/>
          <w:szCs w:val="22"/>
        </w:rPr>
        <w:t xml:space="preserve">albo miejscach zamieszkania wykonawców, których oferty zostały otwarte; </w:t>
      </w:r>
    </w:p>
    <w:p>
      <w:pPr>
        <w:pStyle w:val="ListParagraph"/>
        <w:numPr>
          <w:ilvl w:val="0"/>
          <w:numId w:val="28"/>
        </w:numPr>
        <w:tabs>
          <w:tab w:val="clear" w:pos="708"/>
          <w:tab w:val="left" w:pos="851" w:leader="none"/>
        </w:tabs>
        <w:spacing w:lineRule="auto" w:line="276"/>
        <w:ind w:hanging="425" w:left="1134"/>
        <w:jc w:val="both"/>
        <w:rPr>
          <w:color w:val="000000"/>
        </w:rPr>
      </w:pPr>
      <w:r>
        <w:rPr>
          <w:rFonts w:ascii="Cambria" w:hAnsi="Cambria"/>
          <w:color w:val="000000"/>
          <w:sz w:val="22"/>
          <w:szCs w:val="22"/>
        </w:rPr>
        <w:t>cenach zawartych w ofertach.</w:t>
      </w:r>
    </w:p>
    <w:p>
      <w:pPr>
        <w:pStyle w:val="Normal"/>
        <w:numPr>
          <w:ilvl w:val="0"/>
          <w:numId w:val="29"/>
        </w:numPr>
        <w:tabs>
          <w:tab w:val="clear" w:pos="708"/>
          <w:tab w:val="left" w:pos="851" w:leader="none"/>
        </w:tabs>
        <w:suppressAutoHyphens w:val="false"/>
        <w:spacing w:lineRule="auto" w:line="276"/>
        <w:jc w:val="both"/>
        <w:rPr>
          <w:color w:val="000000"/>
        </w:rPr>
      </w:pPr>
      <w:r>
        <w:rPr>
          <w:rFonts w:eastAsia="Cambria" w:ascii="Cambria" w:hAnsi="Cambria"/>
          <w:color w:val="000000"/>
          <w:sz w:val="22"/>
          <w:szCs w:val="22"/>
        </w:rPr>
        <w:t xml:space="preserve"> </w:t>
      </w:r>
      <w:r>
        <w:rPr>
          <w:rFonts w:ascii="Cambria" w:hAnsi="Cambria"/>
          <w:color w:val="000000"/>
          <w:sz w:val="22"/>
          <w:szCs w:val="22"/>
        </w:rPr>
        <w:t xml:space="preserve">Wykonawca jest związany ofertą do dnia </w:t>
      </w:r>
      <w:r>
        <w:rPr>
          <w:rFonts w:ascii="Cambria" w:hAnsi="Cambria"/>
          <w:b/>
          <w:bCs/>
          <w:color w:val="000000"/>
          <w:sz w:val="22"/>
          <w:szCs w:val="22"/>
        </w:rPr>
        <w:t>18.04.</w:t>
      </w:r>
      <w:r>
        <w:rPr>
          <w:rFonts w:ascii="Cambria" w:hAnsi="Cambria"/>
          <w:b/>
          <w:color w:val="000000"/>
          <w:sz w:val="22"/>
          <w:szCs w:val="22"/>
        </w:rPr>
        <w:t>2026 r</w:t>
      </w:r>
      <w:r>
        <w:rPr>
          <w:rFonts w:ascii="Cambria" w:hAnsi="Cambria"/>
          <w:color w:val="000000"/>
          <w:sz w:val="22"/>
          <w:szCs w:val="22"/>
        </w:rPr>
        <w:t>.</w:t>
      </w:r>
    </w:p>
    <w:p>
      <w:pPr>
        <w:pStyle w:val="Normal"/>
        <w:numPr>
          <w:ilvl w:val="0"/>
          <w:numId w:val="29"/>
        </w:numPr>
        <w:tabs>
          <w:tab w:val="clear" w:pos="708"/>
          <w:tab w:val="left" w:pos="851" w:leader="none"/>
        </w:tabs>
        <w:suppressAutoHyphens w:val="false"/>
        <w:spacing w:lineRule="auto" w:line="276"/>
        <w:jc w:val="both"/>
        <w:rPr/>
      </w:pPr>
      <w:r>
        <w:rPr>
          <w:rFonts w:ascii="Cambria" w:hAnsi="Cambria"/>
          <w:color w:val="000000"/>
          <w:sz w:val="22"/>
          <w:szCs w:val="22"/>
        </w:rPr>
        <w:t>Niezwłocznie po otwarciu ofert Zamawiający zamieści w Syste</w:t>
      </w:r>
      <w:r>
        <w:rPr>
          <w:rFonts w:ascii="Cambria" w:hAnsi="Cambria"/>
          <w:sz w:val="22"/>
          <w:szCs w:val="22"/>
        </w:rPr>
        <w:t xml:space="preserve">mie informacje o: </w:t>
      </w:r>
    </w:p>
    <w:p>
      <w:pPr>
        <w:pStyle w:val="Normal"/>
        <w:numPr>
          <w:ilvl w:val="1"/>
          <w:numId w:val="29"/>
        </w:numPr>
        <w:tabs>
          <w:tab w:val="clear" w:pos="708"/>
          <w:tab w:val="left" w:pos="851" w:leader="none"/>
          <w:tab w:val="left" w:pos="993" w:leader="none"/>
        </w:tabs>
        <w:suppressAutoHyphens w:val="false"/>
        <w:spacing w:lineRule="auto" w:line="276"/>
        <w:ind w:hanging="425" w:left="1134"/>
        <w:jc w:val="both"/>
        <w:rPr/>
      </w:pPr>
      <w:r>
        <w:rPr>
          <w:rFonts w:ascii="Cambria" w:hAnsi="Cambria"/>
          <w:sz w:val="22"/>
          <w:szCs w:val="22"/>
        </w:rPr>
        <w:t xml:space="preserve">nazwach albo imionach i nazwiskach oraz siedzibach lub miejscach prowadzonej działalności gospodarczej albo miejscach zamieszkania wykonawców, których oferty zostały otwarte; </w:t>
      </w:r>
    </w:p>
    <w:p>
      <w:pPr>
        <w:pStyle w:val="Normal"/>
        <w:numPr>
          <w:ilvl w:val="1"/>
          <w:numId w:val="29"/>
        </w:numPr>
        <w:tabs>
          <w:tab w:val="clear" w:pos="708"/>
          <w:tab w:val="left" w:pos="851" w:leader="none"/>
          <w:tab w:val="left" w:pos="993" w:leader="none"/>
        </w:tabs>
        <w:suppressAutoHyphens w:val="false"/>
        <w:spacing w:lineRule="auto" w:line="276"/>
        <w:ind w:hanging="425" w:left="1134"/>
        <w:jc w:val="both"/>
        <w:rPr/>
      </w:pPr>
      <w:r>
        <w:rPr>
          <w:rFonts w:ascii="Cambria" w:hAnsi="Cambria"/>
          <w:sz w:val="22"/>
          <w:szCs w:val="22"/>
        </w:rPr>
        <w:t xml:space="preserve"> </w:t>
      </w:r>
      <w:r>
        <w:rPr>
          <w:rFonts w:ascii="Cambria" w:hAnsi="Cambria"/>
          <w:sz w:val="22"/>
          <w:szCs w:val="22"/>
        </w:rPr>
        <w:t>cenach zawartych w ofertach.</w:t>
      </w:r>
    </w:p>
    <w:p>
      <w:pPr>
        <w:pStyle w:val="Normal"/>
        <w:numPr>
          <w:ilvl w:val="0"/>
          <w:numId w:val="29"/>
        </w:numPr>
        <w:tabs>
          <w:tab w:val="clear" w:pos="708"/>
          <w:tab w:val="left" w:pos="851" w:leader="none"/>
        </w:tabs>
        <w:suppressAutoHyphens w:val="false"/>
        <w:spacing w:lineRule="auto" w:line="276"/>
        <w:jc w:val="both"/>
        <w:rPr/>
      </w:pPr>
      <w:r>
        <w:rPr>
          <w:rFonts w:ascii="Cambria" w:hAnsi="Cambria"/>
          <w:sz w:val="22"/>
          <w:szCs w:val="22"/>
        </w:rPr>
        <w:t>Możliwe negocjacje w celu polepszenia treści ofert:</w:t>
      </w:r>
    </w:p>
    <w:p>
      <w:pPr>
        <w:pStyle w:val="Normal"/>
        <w:numPr>
          <w:ilvl w:val="1"/>
          <w:numId w:val="29"/>
        </w:numPr>
        <w:tabs>
          <w:tab w:val="clear" w:pos="708"/>
          <w:tab w:val="left" w:pos="851" w:leader="none"/>
          <w:tab w:val="left" w:pos="1134" w:leader="none"/>
        </w:tabs>
        <w:suppressAutoHyphens w:val="false"/>
        <w:spacing w:lineRule="auto" w:line="276"/>
        <w:ind w:hanging="425" w:left="1134"/>
        <w:jc w:val="both"/>
        <w:rPr/>
      </w:pPr>
      <w:r>
        <w:rPr>
          <w:rFonts w:ascii="Cambria" w:hAnsi="Cambria"/>
          <w:sz w:val="22"/>
          <w:szCs w:val="22"/>
        </w:rPr>
        <w:t>W przypadku prowadzenia negocjacji w celu polepszenia treści ofert, Zamawiający zaprosi jednocześnie wykonawców do negocjacji ofert złożonych w odpowiedzi na ogłoszenie o zamówieniu, jeżeli nie podlegały one odrzuceniu.</w:t>
      </w:r>
    </w:p>
    <w:p>
      <w:pPr>
        <w:pStyle w:val="Normal"/>
        <w:numPr>
          <w:ilvl w:val="1"/>
          <w:numId w:val="29"/>
        </w:numPr>
        <w:tabs>
          <w:tab w:val="clear" w:pos="708"/>
          <w:tab w:val="left" w:pos="851" w:leader="none"/>
          <w:tab w:val="left" w:pos="1134" w:leader="none"/>
        </w:tabs>
        <w:suppressAutoHyphens w:val="false"/>
        <w:spacing w:lineRule="auto" w:line="276"/>
        <w:ind w:hanging="425" w:left="1134"/>
        <w:jc w:val="both"/>
        <w:rPr/>
      </w:pPr>
      <w:r>
        <w:rPr>
          <w:rFonts w:ascii="Cambria" w:hAnsi="Cambria"/>
          <w:sz w:val="22"/>
          <w:szCs w:val="22"/>
        </w:rPr>
        <w:t>W zaproszeniu do negocjacji wskazane zostaną: miejsce, termin i sposób prowadzenia negocjacji, a także kryteria oceny ofert, w ramach których będą prowadzone negocjacje w celu ulepszenia treści ofert.</w:t>
      </w:r>
    </w:p>
    <w:p>
      <w:pPr>
        <w:pStyle w:val="Normal"/>
        <w:numPr>
          <w:ilvl w:val="1"/>
          <w:numId w:val="29"/>
        </w:numPr>
        <w:tabs>
          <w:tab w:val="clear" w:pos="708"/>
          <w:tab w:val="left" w:pos="851" w:leader="none"/>
          <w:tab w:val="left" w:pos="1134" w:leader="none"/>
        </w:tabs>
        <w:suppressAutoHyphens w:val="false"/>
        <w:spacing w:lineRule="auto" w:line="276"/>
        <w:ind w:hanging="425" w:left="1134"/>
        <w:jc w:val="both"/>
        <w:rPr/>
      </w:pPr>
      <w:r>
        <w:rPr>
          <w:rFonts w:ascii="Cambria" w:hAnsi="Cambria"/>
          <w:sz w:val="22"/>
          <w:szCs w:val="22"/>
        </w:rPr>
        <w:t>Prowadzone negocjacje mają charakter poufny. Podczas negocjacji ofert zamawiający zapewni równe traktowanie wszystkich wykonawców. Zamawiający nie będzie udzielać informacji w sposób, który mógłby zapewnić niektórym wykonawcom przewagę nad innymi wykonawcami.</w:t>
      </w:r>
    </w:p>
    <w:p>
      <w:pPr>
        <w:pStyle w:val="Normal"/>
        <w:numPr>
          <w:ilvl w:val="1"/>
          <w:numId w:val="29"/>
        </w:numPr>
        <w:tabs>
          <w:tab w:val="clear" w:pos="708"/>
          <w:tab w:val="left" w:pos="851" w:leader="none"/>
          <w:tab w:val="left" w:pos="1134" w:leader="none"/>
        </w:tabs>
        <w:suppressAutoHyphens w:val="false"/>
        <w:spacing w:lineRule="auto" w:line="276"/>
        <w:ind w:hanging="425" w:left="1134"/>
        <w:jc w:val="both"/>
        <w:rPr/>
      </w:pPr>
      <w:r>
        <w:rPr>
          <w:rFonts w:ascii="Cambria" w:hAnsi="Cambria"/>
          <w:sz w:val="22"/>
          <w:szCs w:val="22"/>
        </w:rPr>
        <w:t>Zamawiający poinformuje równocześnie wszystkich wykonawców, których oferty złożone w odpowiedzi na ogłoszenie o zamówieniu nie zostały odrzucone, o zakończeniu negocjacji oraz zaprosi ich do składania ofert dodatkowych. W zaproszeniu do składania ofert Zamawiający wskaże między innymi sposób i termin składania ofert dodatkowych oraz termin otwarcia tych ofert.</w:t>
      </w:r>
    </w:p>
    <w:p>
      <w:pPr>
        <w:pStyle w:val="Normal"/>
        <w:numPr>
          <w:ilvl w:val="1"/>
          <w:numId w:val="29"/>
        </w:numPr>
        <w:tabs>
          <w:tab w:val="clear" w:pos="708"/>
          <w:tab w:val="left" w:pos="1134" w:leader="none"/>
        </w:tabs>
        <w:suppressAutoHyphens w:val="false"/>
        <w:spacing w:lineRule="auto" w:line="276"/>
        <w:ind w:hanging="425" w:left="1134"/>
        <w:jc w:val="both"/>
        <w:rPr/>
      </w:pPr>
      <w:r>
        <w:rPr>
          <w:rFonts w:ascii="Cambria" w:hAnsi="Cambria"/>
          <w:sz w:val="22"/>
          <w:szCs w:val="22"/>
        </w:rPr>
        <w:t xml:space="preserve">Wykonawca będzie mógł złożyć ofertę dodatkową, zawierającą nowe propozycje w zakresie treści oferty podlegających ocenie w ramach kryteriów oceny ofert wskazanych w zaproszeniu do negocjacji. </w:t>
      </w:r>
    </w:p>
    <w:p>
      <w:pPr>
        <w:pStyle w:val="Normal"/>
        <w:numPr>
          <w:ilvl w:val="1"/>
          <w:numId w:val="29"/>
        </w:numPr>
        <w:tabs>
          <w:tab w:val="clear" w:pos="708"/>
          <w:tab w:val="left" w:pos="1134" w:leader="none"/>
        </w:tabs>
        <w:suppressAutoHyphens w:val="false"/>
        <w:spacing w:lineRule="auto" w:line="276"/>
        <w:ind w:hanging="425" w:left="1134"/>
        <w:jc w:val="both"/>
        <w:rPr/>
      </w:pPr>
      <w:r>
        <w:rPr>
          <w:rFonts w:ascii="Cambria" w:hAnsi="Cambria"/>
          <w:sz w:val="22"/>
          <w:szCs w:val="22"/>
        </w:rPr>
        <w:t xml:space="preserve">Oferta dodatkowa nie będzie mogła być mniej korzystna w żadnym z kryteriów oceny ofert wskazanych w zaproszeniu do negocjacji niż oferta złożona w odpowiedzi na ogłoszenie o zamówieniu. Oferta złożona w odpowiedzi na ogłoszenie przestaje wiązać wykonawcę w zakresie, w jakim złoży on ofertę dodatkową zawierającą korzystniejsze propozycje w ramach każdego z kryteriów oceny ofert wskazanych w zaproszeniu do negocjacji. </w:t>
      </w:r>
    </w:p>
    <w:p>
      <w:pPr>
        <w:pStyle w:val="Normal"/>
        <w:numPr>
          <w:ilvl w:val="1"/>
          <w:numId w:val="29"/>
        </w:numPr>
        <w:tabs>
          <w:tab w:val="clear" w:pos="708"/>
          <w:tab w:val="left" w:pos="1134" w:leader="none"/>
        </w:tabs>
        <w:suppressAutoHyphens w:val="false"/>
        <w:spacing w:lineRule="auto" w:line="276"/>
        <w:ind w:hanging="425" w:left="1134"/>
        <w:jc w:val="both"/>
        <w:rPr/>
      </w:pPr>
      <w:r>
        <w:rPr>
          <w:rFonts w:ascii="Cambria" w:hAnsi="Cambria"/>
          <w:sz w:val="22"/>
          <w:szCs w:val="22"/>
        </w:rPr>
        <w:t>Oferta dodatkowa, która będzie mniej korzystna w którymkolwiek z kryteriów oceny ofert wskazanych w zaproszeniu do negocjacji niż oferta złożona w odpowiedzi na ogłoszenie o zamówieniu, będzie podlegać odrzuceniu.</w:t>
      </w:r>
    </w:p>
    <w:p>
      <w:pPr>
        <w:pStyle w:val="Normal"/>
        <w:suppressAutoHyphens w:val="false"/>
        <w:spacing w:lineRule="auto" w:line="276"/>
        <w:rPr>
          <w:rFonts w:ascii="Cambria" w:hAnsi="Cambria" w:cs="Arial"/>
          <w:sz w:val="22"/>
          <w:szCs w:val="22"/>
        </w:rPr>
      </w:pPr>
      <w:r>
        <w:rPr>
          <w:rFonts w:cs="Arial" w:ascii="Cambria" w:hAnsi="Cambria"/>
          <w:sz w:val="22"/>
          <w:szCs w:val="22"/>
        </w:rPr>
      </w:r>
    </w:p>
    <w:p>
      <w:pPr>
        <w:pStyle w:val="Normal"/>
        <w:numPr>
          <w:ilvl w:val="0"/>
          <w:numId w:val="1"/>
        </w:numPr>
        <w:spacing w:lineRule="auto" w:line="276" w:before="120" w:after="120"/>
        <w:jc w:val="both"/>
        <w:rPr/>
      </w:pPr>
      <w:r>
        <w:rPr>
          <w:rFonts w:cs="Arial" w:ascii="Cambria" w:hAnsi="Cambria"/>
          <w:b/>
          <w:sz w:val="22"/>
          <w:szCs w:val="22"/>
        </w:rPr>
        <w:t>KRYTERIA WYBORU I OCENY OFERT</w:t>
      </w:r>
    </w:p>
    <w:p>
      <w:pPr>
        <w:pStyle w:val="Normal"/>
        <w:numPr>
          <w:ilvl w:val="0"/>
          <w:numId w:val="18"/>
        </w:numPr>
        <w:tabs>
          <w:tab w:val="clear" w:pos="708"/>
          <w:tab w:val="left" w:pos="576" w:leader="none"/>
          <w:tab w:val="left" w:pos="720" w:leader="none"/>
          <w:tab w:val="left" w:pos="851" w:leader="none"/>
        </w:tabs>
        <w:suppressAutoHyphens w:val="false"/>
        <w:spacing w:lineRule="auto" w:line="276"/>
        <w:jc w:val="both"/>
        <w:rPr/>
      </w:pPr>
      <w:r>
        <w:rPr>
          <w:rFonts w:eastAsia="Tahoma" w:cs="Arial" w:ascii="Cambria" w:hAnsi="Cambria"/>
          <w:b/>
          <w:sz w:val="22"/>
          <w:szCs w:val="22"/>
        </w:rPr>
        <w:t xml:space="preserve">Kryteria oceny ofert </w:t>
      </w:r>
    </w:p>
    <w:p>
      <w:pPr>
        <w:pStyle w:val="ListParagraph"/>
        <w:spacing w:lineRule="auto" w:line="276"/>
        <w:rPr>
          <w:rFonts w:ascii="Cambria" w:hAnsi="Cambria" w:eastAsia="Tahoma" w:cs="Arial"/>
          <w:b/>
          <w:sz w:val="22"/>
          <w:szCs w:val="22"/>
        </w:rPr>
      </w:pPr>
      <w:r>
        <w:rPr>
          <w:rFonts w:eastAsia="Tahoma" w:cs="Arial" w:ascii="Cambria" w:hAnsi="Cambria"/>
          <w:b/>
          <w:sz w:val="22"/>
          <w:szCs w:val="22"/>
        </w:rPr>
      </w:r>
    </w:p>
    <w:tbl>
      <w:tblPr>
        <w:tblpPr w:vertAnchor="text" w:horzAnchor="margin" w:tblpXSpec="center" w:leftFromText="141" w:rightFromText="141" w:tblpY="-54"/>
        <w:tblW w:w="7458" w:type="dxa"/>
        <w:jc w:val="center"/>
        <w:tblInd w:w="0" w:type="dxa"/>
        <w:tblLayout w:type="fixed"/>
        <w:tblCellMar>
          <w:top w:w="0" w:type="dxa"/>
          <w:left w:w="45" w:type="dxa"/>
          <w:bottom w:w="0" w:type="dxa"/>
          <w:right w:w="70" w:type="dxa"/>
        </w:tblCellMar>
        <w:tblLook w:firstRow="1" w:noVBand="1" w:lastRow="0" w:firstColumn="1" w:lastColumn="0" w:noHBand="0" w:val="04a0"/>
      </w:tblPr>
      <w:tblGrid>
        <w:gridCol w:w="647"/>
        <w:gridCol w:w="4959"/>
        <w:gridCol w:w="1852"/>
      </w:tblGrid>
      <w:tr>
        <w:trPr>
          <w:trHeight w:val="629" w:hRule="atLeast"/>
        </w:trPr>
        <w:tc>
          <w:tcPr>
            <w:tcW w:w="647" w:type="dxa"/>
            <w:tcBorders>
              <w:top w:val="single" w:sz="4" w:space="0" w:color="000001"/>
              <w:left w:val="single" w:sz="4" w:space="0" w:color="000001"/>
              <w:bottom w:val="single" w:sz="4" w:space="0" w:color="000001"/>
            </w:tcBorders>
            <w:shd w:color="auto" w:fill="auto" w:val="pct12"/>
          </w:tcPr>
          <w:p>
            <w:pPr>
              <w:pStyle w:val="Normal"/>
              <w:widowControl w:val="false"/>
              <w:snapToGrid w:val="false"/>
              <w:spacing w:lineRule="auto" w:line="360"/>
              <w:jc w:val="both"/>
              <w:rPr>
                <w:rFonts w:ascii="Cambria" w:hAnsi="Cambria" w:eastAsia="Tahoma" w:cs="Arial"/>
                <w:b/>
                <w:bCs/>
                <w:sz w:val="22"/>
                <w:szCs w:val="22"/>
              </w:rPr>
            </w:pPr>
            <w:r>
              <w:rPr>
                <w:rFonts w:cs="Arial" w:ascii="Cambria" w:hAnsi="Cambria"/>
                <w:b/>
                <w:bCs/>
                <w:sz w:val="22"/>
                <w:szCs w:val="22"/>
              </w:rPr>
              <w:t>Lp</w:t>
            </w:r>
            <w:r>
              <w:rPr>
                <w:rFonts w:eastAsia="Tahoma" w:cs="Arial" w:ascii="Cambria" w:hAnsi="Cambria"/>
                <w:b/>
                <w:bCs/>
                <w:sz w:val="22"/>
                <w:szCs w:val="22"/>
              </w:rPr>
              <w:t>.</w:t>
            </w:r>
          </w:p>
        </w:tc>
        <w:tc>
          <w:tcPr>
            <w:tcW w:w="4959" w:type="dxa"/>
            <w:tcBorders>
              <w:top w:val="single" w:sz="4" w:space="0" w:color="000001"/>
              <w:left w:val="single" w:sz="4" w:space="0" w:color="000001"/>
              <w:bottom w:val="single" w:sz="4" w:space="0" w:color="000001"/>
            </w:tcBorders>
            <w:shd w:color="auto" w:fill="auto" w:val="pct12"/>
          </w:tcPr>
          <w:p>
            <w:pPr>
              <w:pStyle w:val="Normal"/>
              <w:widowControl w:val="false"/>
              <w:snapToGrid w:val="false"/>
              <w:spacing w:lineRule="auto" w:line="360"/>
              <w:jc w:val="both"/>
              <w:rPr>
                <w:rFonts w:ascii="Cambria" w:hAnsi="Cambria" w:cs="Arial"/>
                <w:b/>
                <w:bCs/>
                <w:sz w:val="22"/>
                <w:szCs w:val="22"/>
              </w:rPr>
            </w:pPr>
            <w:r>
              <w:rPr>
                <w:rFonts w:cs="Arial" w:ascii="Cambria" w:hAnsi="Cambria"/>
                <w:b/>
                <w:bCs/>
                <w:sz w:val="22"/>
                <w:szCs w:val="22"/>
              </w:rPr>
              <w:t>Kryteria</w:t>
            </w:r>
          </w:p>
        </w:tc>
        <w:tc>
          <w:tcPr>
            <w:tcW w:w="1852" w:type="dxa"/>
            <w:tcBorders>
              <w:top w:val="single" w:sz="4" w:space="0" w:color="000001"/>
              <w:left w:val="single" w:sz="4" w:space="0" w:color="000001"/>
              <w:bottom w:val="single" w:sz="4" w:space="0" w:color="000001"/>
              <w:right w:val="single" w:sz="4" w:space="0" w:color="000001"/>
            </w:tcBorders>
            <w:shd w:color="auto" w:fill="auto" w:val="pct12"/>
          </w:tcPr>
          <w:p>
            <w:pPr>
              <w:pStyle w:val="Normal"/>
              <w:widowControl w:val="false"/>
              <w:snapToGrid w:val="false"/>
              <w:spacing w:lineRule="auto" w:line="360"/>
              <w:jc w:val="center"/>
              <w:rPr>
                <w:rFonts w:ascii="Cambria" w:hAnsi="Cambria" w:cs="Arial"/>
                <w:b/>
                <w:bCs/>
                <w:sz w:val="22"/>
                <w:szCs w:val="22"/>
              </w:rPr>
            </w:pPr>
            <w:r>
              <w:rPr>
                <w:rFonts w:cs="Arial" w:ascii="Cambria" w:hAnsi="Cambria"/>
                <w:b/>
                <w:bCs/>
                <w:sz w:val="22"/>
                <w:szCs w:val="22"/>
              </w:rPr>
              <w:t>Punkty</w:t>
            </w:r>
          </w:p>
        </w:tc>
      </w:tr>
      <w:tr>
        <w:trPr>
          <w:trHeight w:val="554" w:hRule="atLeast"/>
        </w:trPr>
        <w:tc>
          <w:tcPr>
            <w:tcW w:w="647" w:type="dxa"/>
            <w:tcBorders>
              <w:top w:val="single" w:sz="4" w:space="0" w:color="000001"/>
              <w:left w:val="single" w:sz="4" w:space="0" w:color="000001"/>
              <w:bottom w:val="single" w:sz="4" w:space="0" w:color="000001"/>
            </w:tcBorders>
          </w:tcPr>
          <w:p>
            <w:pPr>
              <w:pStyle w:val="Normal"/>
              <w:widowControl w:val="false"/>
              <w:snapToGrid w:val="false"/>
              <w:spacing w:lineRule="auto" w:line="360"/>
              <w:jc w:val="both"/>
              <w:rPr>
                <w:rFonts w:ascii="Cambria" w:hAnsi="Cambria" w:eastAsia="Tahoma" w:cs="Arial"/>
                <w:bCs/>
                <w:sz w:val="22"/>
                <w:szCs w:val="22"/>
              </w:rPr>
            </w:pPr>
            <w:r>
              <w:rPr>
                <w:rFonts w:eastAsia="Tahoma" w:cs="Arial" w:ascii="Cambria" w:hAnsi="Cambria"/>
                <w:bCs/>
                <w:sz w:val="22"/>
                <w:szCs w:val="22"/>
              </w:rPr>
              <w:t>1.</w:t>
            </w:r>
          </w:p>
        </w:tc>
        <w:tc>
          <w:tcPr>
            <w:tcW w:w="4959" w:type="dxa"/>
            <w:tcBorders>
              <w:top w:val="single" w:sz="4" w:space="0" w:color="000001"/>
              <w:left w:val="single" w:sz="4" w:space="0" w:color="000001"/>
              <w:bottom w:val="single" w:sz="4" w:space="0" w:color="000001"/>
            </w:tcBorders>
          </w:tcPr>
          <w:p>
            <w:pPr>
              <w:pStyle w:val="Normal"/>
              <w:widowControl w:val="false"/>
              <w:snapToGrid w:val="false"/>
              <w:spacing w:lineRule="auto" w:line="360"/>
              <w:jc w:val="both"/>
              <w:rPr>
                <w:rFonts w:ascii="Cambria" w:hAnsi="Cambria" w:cs="Arial"/>
                <w:bCs/>
                <w:sz w:val="22"/>
                <w:szCs w:val="22"/>
              </w:rPr>
            </w:pPr>
            <w:r>
              <w:rPr>
                <w:rFonts w:cs="Arial" w:ascii="Cambria" w:hAnsi="Cambria"/>
                <w:bCs/>
                <w:sz w:val="22"/>
                <w:szCs w:val="22"/>
              </w:rPr>
              <w:t>CENA</w:t>
            </w:r>
          </w:p>
        </w:tc>
        <w:tc>
          <w:tcPr>
            <w:tcW w:w="1852" w:type="dxa"/>
            <w:tcBorders>
              <w:top w:val="single" w:sz="4" w:space="0" w:color="000001"/>
              <w:left w:val="single" w:sz="4" w:space="0" w:color="000001"/>
              <w:bottom w:val="single" w:sz="4" w:space="0" w:color="000001"/>
              <w:right w:val="single" w:sz="4" w:space="0" w:color="000001"/>
            </w:tcBorders>
          </w:tcPr>
          <w:p>
            <w:pPr>
              <w:pStyle w:val="Normal"/>
              <w:widowControl w:val="false"/>
              <w:snapToGrid w:val="false"/>
              <w:spacing w:lineRule="auto" w:line="360"/>
              <w:jc w:val="center"/>
              <w:rPr>
                <w:rFonts w:ascii="Cambria" w:hAnsi="Cambria" w:eastAsia="Tahoma" w:cs="Arial"/>
                <w:b/>
                <w:bCs/>
                <w:sz w:val="22"/>
                <w:szCs w:val="22"/>
              </w:rPr>
            </w:pPr>
            <w:r>
              <w:rPr>
                <w:rFonts w:eastAsia="Tahoma" w:cs="Arial" w:ascii="Cambria" w:hAnsi="Cambria"/>
                <w:b/>
                <w:bCs/>
                <w:sz w:val="22"/>
                <w:szCs w:val="22"/>
              </w:rPr>
              <w:t>60</w:t>
            </w:r>
          </w:p>
        </w:tc>
      </w:tr>
      <w:tr>
        <w:trPr>
          <w:trHeight w:val="554" w:hRule="atLeast"/>
        </w:trPr>
        <w:tc>
          <w:tcPr>
            <w:tcW w:w="647" w:type="dxa"/>
            <w:tcBorders>
              <w:top w:val="single" w:sz="4" w:space="0" w:color="000001"/>
              <w:left w:val="single" w:sz="4" w:space="0" w:color="000001"/>
              <w:bottom w:val="single" w:sz="4" w:space="0" w:color="000001"/>
            </w:tcBorders>
          </w:tcPr>
          <w:p>
            <w:pPr>
              <w:pStyle w:val="Normal"/>
              <w:widowControl w:val="false"/>
              <w:snapToGrid w:val="false"/>
              <w:spacing w:lineRule="auto" w:line="360"/>
              <w:jc w:val="both"/>
              <w:rPr>
                <w:rFonts w:ascii="Cambria" w:hAnsi="Cambria" w:eastAsia="Tahoma" w:cs="Arial"/>
                <w:bCs/>
                <w:sz w:val="22"/>
                <w:szCs w:val="22"/>
              </w:rPr>
            </w:pPr>
            <w:r>
              <w:rPr>
                <w:rFonts w:eastAsia="Tahoma" w:cs="Arial" w:ascii="Cambria" w:hAnsi="Cambria"/>
                <w:bCs/>
                <w:sz w:val="22"/>
                <w:szCs w:val="22"/>
              </w:rPr>
              <w:t>2.</w:t>
            </w:r>
          </w:p>
        </w:tc>
        <w:tc>
          <w:tcPr>
            <w:tcW w:w="4959" w:type="dxa"/>
            <w:tcBorders>
              <w:top w:val="single" w:sz="4" w:space="0" w:color="000001"/>
              <w:left w:val="single" w:sz="4" w:space="0" w:color="000001"/>
              <w:bottom w:val="single" w:sz="4" w:space="0" w:color="000001"/>
            </w:tcBorders>
          </w:tcPr>
          <w:p>
            <w:pPr>
              <w:pStyle w:val="Normal"/>
              <w:widowControl w:val="false"/>
              <w:snapToGrid w:val="false"/>
              <w:spacing w:lineRule="auto" w:line="360"/>
              <w:jc w:val="both"/>
              <w:rPr>
                <w:rFonts w:ascii="Cambria" w:hAnsi="Cambria" w:cs="Arial"/>
                <w:sz w:val="22"/>
                <w:szCs w:val="22"/>
              </w:rPr>
            </w:pPr>
            <w:r>
              <w:rPr>
                <w:rFonts w:cs="Arial" w:ascii="Cambria" w:hAnsi="Cambria"/>
                <w:bCs/>
                <w:sz w:val="22"/>
                <w:szCs w:val="22"/>
              </w:rPr>
              <w:t>WYDŁUŻONY OKRES GWARANCJI</w:t>
            </w:r>
          </w:p>
        </w:tc>
        <w:tc>
          <w:tcPr>
            <w:tcW w:w="1852" w:type="dxa"/>
            <w:tcBorders>
              <w:top w:val="single" w:sz="4" w:space="0" w:color="000001"/>
              <w:left w:val="single" w:sz="4" w:space="0" w:color="000001"/>
              <w:bottom w:val="single" w:sz="4" w:space="0" w:color="000001"/>
              <w:right w:val="single" w:sz="4" w:space="0" w:color="000001"/>
            </w:tcBorders>
          </w:tcPr>
          <w:p>
            <w:pPr>
              <w:pStyle w:val="Normal"/>
              <w:widowControl w:val="false"/>
              <w:snapToGrid w:val="false"/>
              <w:spacing w:lineRule="auto" w:line="360"/>
              <w:jc w:val="center"/>
              <w:rPr>
                <w:rFonts w:ascii="Cambria" w:hAnsi="Cambria" w:cs="Arial"/>
                <w:b/>
                <w:sz w:val="22"/>
                <w:szCs w:val="22"/>
              </w:rPr>
            </w:pPr>
            <w:r>
              <w:rPr>
                <w:rFonts w:cs="Arial" w:ascii="Cambria" w:hAnsi="Cambria"/>
                <w:b/>
                <w:sz w:val="22"/>
                <w:szCs w:val="22"/>
              </w:rPr>
              <w:t>28</w:t>
            </w:r>
          </w:p>
        </w:tc>
      </w:tr>
      <w:tr>
        <w:trPr>
          <w:trHeight w:val="554" w:hRule="atLeast"/>
        </w:trPr>
        <w:tc>
          <w:tcPr>
            <w:tcW w:w="647" w:type="dxa"/>
            <w:tcBorders>
              <w:top w:val="single" w:sz="4" w:space="0" w:color="000001"/>
              <w:left w:val="single" w:sz="4" w:space="0" w:color="000001"/>
              <w:bottom w:val="single" w:sz="4" w:space="0" w:color="000001"/>
            </w:tcBorders>
          </w:tcPr>
          <w:p>
            <w:pPr>
              <w:pStyle w:val="Normal"/>
              <w:widowControl w:val="false"/>
              <w:snapToGrid w:val="false"/>
              <w:spacing w:lineRule="auto" w:line="360"/>
              <w:jc w:val="both"/>
              <w:rPr>
                <w:color w:val="000000"/>
              </w:rPr>
            </w:pPr>
            <w:r>
              <w:rPr>
                <w:rFonts w:eastAsia="Tahoma" w:cs="Arial" w:ascii="Cambria" w:hAnsi="Cambria"/>
                <w:bCs/>
                <w:color w:val="000000"/>
                <w:sz w:val="22"/>
                <w:szCs w:val="22"/>
              </w:rPr>
              <w:t>3.</w:t>
            </w:r>
          </w:p>
        </w:tc>
        <w:tc>
          <w:tcPr>
            <w:tcW w:w="4959" w:type="dxa"/>
            <w:tcBorders>
              <w:top w:val="single" w:sz="4" w:space="0" w:color="000001"/>
              <w:left w:val="single" w:sz="4" w:space="0" w:color="000001"/>
              <w:bottom w:val="single" w:sz="4" w:space="0" w:color="000001"/>
            </w:tcBorders>
          </w:tcPr>
          <w:p>
            <w:pPr>
              <w:pStyle w:val="Normal"/>
              <w:widowControl w:val="false"/>
              <w:snapToGrid w:val="false"/>
              <w:spacing w:before="114" w:after="114"/>
              <w:jc w:val="both"/>
              <w:rPr>
                <w:color w:val="000000"/>
              </w:rPr>
            </w:pPr>
            <w:r>
              <w:rPr>
                <w:rFonts w:cs="Arial" w:ascii="Cambria" w:hAnsi="Cambria"/>
                <w:color w:val="000000"/>
                <w:sz w:val="22"/>
                <w:szCs w:val="22"/>
              </w:rPr>
              <w:t>KWALIFIKACJE I DOŚWIADCZENIE KIEROWNIKA BUDOWY</w:t>
            </w:r>
          </w:p>
        </w:tc>
        <w:tc>
          <w:tcPr>
            <w:tcW w:w="1852" w:type="dxa"/>
            <w:tcBorders>
              <w:top w:val="single" w:sz="4" w:space="0" w:color="000001"/>
              <w:left w:val="single" w:sz="4" w:space="0" w:color="000001"/>
              <w:bottom w:val="single" w:sz="4" w:space="0" w:color="000001"/>
              <w:right w:val="single" w:sz="4" w:space="0" w:color="000001"/>
            </w:tcBorders>
          </w:tcPr>
          <w:p>
            <w:pPr>
              <w:pStyle w:val="Normal"/>
              <w:widowControl w:val="false"/>
              <w:snapToGrid w:val="false"/>
              <w:spacing w:lineRule="auto" w:line="360"/>
              <w:jc w:val="center"/>
              <w:rPr>
                <w:color w:val="000000"/>
              </w:rPr>
            </w:pPr>
            <w:r>
              <w:rPr>
                <w:rFonts w:cs="Arial" w:ascii="Cambria" w:hAnsi="Cambria"/>
                <w:b/>
                <w:color w:val="000000"/>
                <w:sz w:val="22"/>
                <w:szCs w:val="22"/>
              </w:rPr>
              <w:t>12</w:t>
            </w:r>
          </w:p>
        </w:tc>
      </w:tr>
    </w:tbl>
    <w:p>
      <w:pPr>
        <w:pStyle w:val="Normal"/>
        <w:numPr>
          <w:ilvl w:val="1"/>
          <w:numId w:val="18"/>
        </w:numPr>
        <w:tabs>
          <w:tab w:val="clear" w:pos="708"/>
          <w:tab w:val="left" w:pos="576" w:leader="none"/>
          <w:tab w:val="left" w:pos="720" w:leader="none"/>
          <w:tab w:val="left" w:pos="851" w:leader="none"/>
        </w:tabs>
        <w:suppressAutoHyphens w:val="false"/>
        <w:spacing w:lineRule="auto" w:line="276"/>
        <w:jc w:val="both"/>
        <w:rPr/>
      </w:pPr>
      <w:r/>
      <w:r>
        <w:rPr>
          <w:rFonts w:eastAsia="Tahoma" w:cs="Arial" w:ascii="Cambria" w:hAnsi="Cambria"/>
          <w:b/>
          <w:sz w:val="22"/>
          <w:szCs w:val="22"/>
        </w:rPr>
        <w:t>Cena</w:t>
      </w:r>
    </w:p>
    <w:p>
      <w:pPr>
        <w:pStyle w:val="Normal"/>
        <w:tabs>
          <w:tab w:val="clear" w:pos="708"/>
          <w:tab w:val="left" w:pos="576" w:leader="none"/>
          <w:tab w:val="left" w:pos="720" w:leader="none"/>
          <w:tab w:val="left" w:pos="851" w:leader="none"/>
        </w:tabs>
        <w:suppressAutoHyphens w:val="false"/>
        <w:spacing w:lineRule="auto" w:line="276"/>
        <w:ind w:left="792"/>
        <w:jc w:val="both"/>
        <w:rPr/>
      </w:pPr>
      <w:r>
        <w:rPr>
          <w:rFonts w:cs="Arial" w:ascii="Cambria" w:hAnsi="Cambria"/>
          <w:bCs/>
          <w:sz w:val="22"/>
          <w:szCs w:val="22"/>
        </w:rPr>
        <w:t xml:space="preserve">Oferta z najniższą ceną otrzyma </w:t>
      </w:r>
      <w:r>
        <w:rPr>
          <w:rFonts w:cs="Arial" w:ascii="Cambria" w:hAnsi="Cambria"/>
          <w:b/>
          <w:bCs/>
          <w:sz w:val="22"/>
          <w:szCs w:val="22"/>
        </w:rPr>
        <w:t>60 punktów.</w:t>
      </w:r>
      <w:r>
        <w:rPr>
          <w:rFonts w:cs="Arial" w:ascii="Cambria" w:hAnsi="Cambria"/>
          <w:bCs/>
          <w:sz w:val="22"/>
          <w:szCs w:val="22"/>
        </w:rPr>
        <w:t xml:space="preserve"> Pozostałe oferty proporcjonalnie mniej w/g następującego przelicznika:</w:t>
      </w:r>
      <w:r>
        <w:rPr>
          <w:rFonts w:eastAsia="Tahoma" w:cs="Arial" w:ascii="Cambria" w:hAnsi="Cambria"/>
          <w:b/>
          <w:sz w:val="22"/>
          <w:szCs w:val="22"/>
        </w:rPr>
        <w:t xml:space="preserve"> </w:t>
      </w:r>
    </w:p>
    <w:p>
      <w:pPr>
        <w:pStyle w:val="Normal"/>
        <w:tabs>
          <w:tab w:val="clear" w:pos="708"/>
          <w:tab w:val="left" w:pos="576" w:leader="none"/>
          <w:tab w:val="left" w:pos="720" w:leader="none"/>
          <w:tab w:val="left" w:pos="851" w:leader="none"/>
        </w:tabs>
        <w:suppressAutoHyphens w:val="false"/>
        <w:spacing w:lineRule="auto" w:line="276"/>
        <w:ind w:left="792"/>
        <w:jc w:val="both"/>
        <w:rPr/>
      </w:pPr>
      <w:r>
        <w:rPr>
          <w:rFonts w:cs="Arial" w:ascii="Cambria" w:hAnsi="Cambria"/>
          <w:sz w:val="22"/>
          <w:szCs w:val="22"/>
        </w:rPr>
        <w:t>ilość punktów = najniższa cena /cena zawarta w ofercie badanej x 60 punktów.</w:t>
      </w:r>
    </w:p>
    <w:p>
      <w:pPr>
        <w:pStyle w:val="Normal"/>
        <w:numPr>
          <w:ilvl w:val="1"/>
          <w:numId w:val="18"/>
        </w:numPr>
        <w:tabs>
          <w:tab w:val="clear" w:pos="708"/>
          <w:tab w:val="left" w:pos="576" w:leader="none"/>
          <w:tab w:val="left" w:pos="720" w:leader="none"/>
          <w:tab w:val="left" w:pos="851" w:leader="none"/>
        </w:tabs>
        <w:suppressAutoHyphens w:val="false"/>
        <w:spacing w:lineRule="auto" w:line="276"/>
        <w:jc w:val="both"/>
        <w:rPr/>
      </w:pPr>
      <w:r>
        <w:rPr>
          <w:rFonts w:cs="Arial" w:ascii="Cambria" w:hAnsi="Cambria"/>
          <w:b/>
          <w:bCs/>
          <w:sz w:val="22"/>
          <w:szCs w:val="22"/>
        </w:rPr>
        <w:t>Wydłużony okres gwarancji na wykonane roboty budowlane:</w:t>
      </w:r>
    </w:p>
    <w:p>
      <w:pPr>
        <w:pStyle w:val="Normal"/>
        <w:numPr>
          <w:ilvl w:val="2"/>
          <w:numId w:val="18"/>
        </w:numPr>
        <w:tabs>
          <w:tab w:val="clear" w:pos="708"/>
          <w:tab w:val="left" w:pos="576" w:leader="none"/>
          <w:tab w:val="left" w:pos="851" w:leader="none"/>
        </w:tabs>
        <w:spacing w:lineRule="auto" w:line="276" w:before="120" w:after="0"/>
        <w:ind w:hanging="567" w:left="1418"/>
        <w:jc w:val="both"/>
        <w:rPr/>
      </w:pPr>
      <w:r>
        <w:rPr>
          <w:rFonts w:cs="Arial" w:ascii="Cambria" w:hAnsi="Cambria"/>
          <w:sz w:val="22"/>
          <w:szCs w:val="22"/>
        </w:rPr>
        <w:t xml:space="preserve">Wykonawca który zaoferuje okres gwarancji wynoszący </w:t>
      </w:r>
      <w:r>
        <w:rPr>
          <w:rFonts w:cs="Arial" w:ascii="Cambria" w:hAnsi="Cambria"/>
          <w:b/>
          <w:bCs/>
          <w:sz w:val="22"/>
          <w:szCs w:val="22"/>
        </w:rPr>
        <w:t>66</w:t>
      </w:r>
      <w:r>
        <w:rPr>
          <w:rFonts w:cs="Arial" w:ascii="Cambria" w:hAnsi="Cambria"/>
          <w:b/>
          <w:sz w:val="22"/>
          <w:szCs w:val="22"/>
        </w:rPr>
        <w:t xml:space="preserve"> miesięcy</w:t>
      </w:r>
      <w:r>
        <w:rPr>
          <w:rFonts w:cs="Arial" w:ascii="Cambria" w:hAnsi="Cambria"/>
          <w:sz w:val="22"/>
          <w:szCs w:val="22"/>
        </w:rPr>
        <w:t xml:space="preserve"> (lub dłuższy), otrzyma </w:t>
      </w:r>
      <w:r>
        <w:rPr>
          <w:rFonts w:cs="Arial" w:ascii="Cambria" w:hAnsi="Cambria"/>
          <w:b/>
          <w:sz w:val="22"/>
          <w:szCs w:val="22"/>
        </w:rPr>
        <w:t>7 punktów</w:t>
      </w:r>
      <w:r>
        <w:rPr>
          <w:rFonts w:cs="Arial" w:ascii="Cambria" w:hAnsi="Cambria"/>
          <w:sz w:val="22"/>
          <w:szCs w:val="22"/>
        </w:rPr>
        <w:t xml:space="preserve"> z zastrzeżeniem pkt. 1.2.2. do 1.2.4. </w:t>
      </w:r>
    </w:p>
    <w:p>
      <w:pPr>
        <w:pStyle w:val="Normal"/>
        <w:numPr>
          <w:ilvl w:val="2"/>
          <w:numId w:val="18"/>
        </w:numPr>
        <w:tabs>
          <w:tab w:val="clear" w:pos="708"/>
          <w:tab w:val="left" w:pos="576" w:leader="none"/>
          <w:tab w:val="left" w:pos="851" w:leader="none"/>
        </w:tabs>
        <w:spacing w:lineRule="auto" w:line="276" w:before="120" w:after="0"/>
        <w:ind w:hanging="567" w:left="1418"/>
        <w:jc w:val="both"/>
        <w:rPr/>
      </w:pPr>
      <w:r>
        <w:rPr>
          <w:rFonts w:cs="Arial" w:ascii="Cambria" w:hAnsi="Cambria"/>
          <w:sz w:val="22"/>
          <w:szCs w:val="22"/>
        </w:rPr>
        <w:t xml:space="preserve">Wykonawca który zaoferuje okres gwarancji wynoszący </w:t>
      </w:r>
      <w:r>
        <w:rPr>
          <w:rFonts w:cs="Arial" w:ascii="Cambria" w:hAnsi="Cambria"/>
          <w:b/>
          <w:bCs/>
          <w:sz w:val="22"/>
          <w:szCs w:val="22"/>
        </w:rPr>
        <w:t>72</w:t>
      </w:r>
      <w:r>
        <w:rPr>
          <w:rFonts w:cs="Arial" w:ascii="Cambria" w:hAnsi="Cambria"/>
          <w:b/>
          <w:sz w:val="22"/>
          <w:szCs w:val="22"/>
        </w:rPr>
        <w:t xml:space="preserve"> miesiące</w:t>
      </w:r>
      <w:r>
        <w:rPr>
          <w:rFonts w:cs="Arial" w:ascii="Cambria" w:hAnsi="Cambria"/>
          <w:sz w:val="22"/>
          <w:szCs w:val="22"/>
        </w:rPr>
        <w:t xml:space="preserve"> (lub dłuższy) otrzyma </w:t>
      </w:r>
      <w:r>
        <w:rPr>
          <w:rFonts w:cs="Arial" w:ascii="Cambria" w:hAnsi="Cambria"/>
          <w:b/>
          <w:sz w:val="22"/>
          <w:szCs w:val="22"/>
        </w:rPr>
        <w:t xml:space="preserve">14 punktów </w:t>
      </w:r>
      <w:r>
        <w:rPr>
          <w:rFonts w:cs="Arial" w:ascii="Cambria" w:hAnsi="Cambria"/>
          <w:sz w:val="22"/>
          <w:szCs w:val="22"/>
        </w:rPr>
        <w:t>z zastrzeżeniem pkt. 1.2.3. do 1.2.4.</w:t>
      </w:r>
    </w:p>
    <w:p>
      <w:pPr>
        <w:pStyle w:val="Normal"/>
        <w:numPr>
          <w:ilvl w:val="2"/>
          <w:numId w:val="18"/>
        </w:numPr>
        <w:tabs>
          <w:tab w:val="clear" w:pos="708"/>
          <w:tab w:val="left" w:pos="576" w:leader="none"/>
          <w:tab w:val="left" w:pos="851" w:leader="none"/>
        </w:tabs>
        <w:spacing w:lineRule="auto" w:line="276" w:before="120" w:after="0"/>
        <w:ind w:hanging="567" w:left="1418"/>
        <w:jc w:val="both"/>
        <w:rPr/>
      </w:pPr>
      <w:r>
        <w:rPr>
          <w:rFonts w:cs="Arial" w:ascii="Cambria" w:hAnsi="Cambria"/>
          <w:sz w:val="22"/>
          <w:szCs w:val="22"/>
        </w:rPr>
        <w:t xml:space="preserve">Wykonawca który zaoferuje okres gwarancji wynoszący </w:t>
      </w:r>
      <w:r>
        <w:rPr>
          <w:rFonts w:cs="Arial" w:ascii="Cambria" w:hAnsi="Cambria"/>
          <w:b/>
          <w:bCs/>
          <w:sz w:val="22"/>
          <w:szCs w:val="22"/>
        </w:rPr>
        <w:t>78</w:t>
      </w:r>
      <w:r>
        <w:rPr>
          <w:rFonts w:cs="Arial" w:ascii="Cambria" w:hAnsi="Cambria"/>
          <w:b/>
          <w:sz w:val="22"/>
          <w:szCs w:val="22"/>
        </w:rPr>
        <w:t xml:space="preserve"> miesięcy</w:t>
      </w:r>
      <w:r>
        <w:rPr>
          <w:rFonts w:cs="Arial" w:ascii="Cambria" w:hAnsi="Cambria"/>
          <w:sz w:val="22"/>
          <w:szCs w:val="22"/>
        </w:rPr>
        <w:t xml:space="preserve"> (lub dłuższy) otrzyma </w:t>
      </w:r>
      <w:r>
        <w:rPr>
          <w:rFonts w:cs="Arial" w:ascii="Cambria" w:hAnsi="Cambria"/>
          <w:b/>
          <w:sz w:val="22"/>
          <w:szCs w:val="22"/>
        </w:rPr>
        <w:t>21 punkty</w:t>
      </w:r>
      <w:r>
        <w:rPr>
          <w:rFonts w:cs="Arial" w:ascii="Cambria" w:hAnsi="Cambria"/>
          <w:sz w:val="22"/>
          <w:szCs w:val="22"/>
        </w:rPr>
        <w:t xml:space="preserve"> z zastrzeżeniem pkt. 1.2.4</w:t>
      </w:r>
    </w:p>
    <w:p>
      <w:pPr>
        <w:pStyle w:val="Normal"/>
        <w:numPr>
          <w:ilvl w:val="2"/>
          <w:numId w:val="18"/>
        </w:numPr>
        <w:tabs>
          <w:tab w:val="clear" w:pos="708"/>
          <w:tab w:val="left" w:pos="576" w:leader="none"/>
          <w:tab w:val="left" w:pos="851" w:leader="none"/>
        </w:tabs>
        <w:spacing w:lineRule="auto" w:line="276" w:before="120" w:after="0"/>
        <w:ind w:hanging="567" w:left="1418"/>
        <w:jc w:val="both"/>
        <w:rPr/>
      </w:pPr>
      <w:r>
        <w:rPr>
          <w:rFonts w:cs="Arial" w:ascii="Cambria" w:hAnsi="Cambria"/>
          <w:sz w:val="22"/>
          <w:szCs w:val="22"/>
        </w:rPr>
        <w:t xml:space="preserve">Wykonawca który zaoferuje okres gwarancji wynoszący </w:t>
      </w:r>
      <w:r>
        <w:rPr>
          <w:rFonts w:cs="Arial" w:ascii="Cambria" w:hAnsi="Cambria"/>
          <w:b/>
          <w:bCs/>
          <w:sz w:val="22"/>
          <w:szCs w:val="22"/>
        </w:rPr>
        <w:t>84</w:t>
      </w:r>
      <w:r>
        <w:rPr>
          <w:rFonts w:cs="Arial" w:ascii="Cambria" w:hAnsi="Cambria"/>
          <w:b/>
          <w:sz w:val="22"/>
          <w:szCs w:val="22"/>
        </w:rPr>
        <w:t xml:space="preserve"> miesiące</w:t>
      </w:r>
      <w:r>
        <w:rPr>
          <w:rFonts w:cs="Arial" w:ascii="Cambria" w:hAnsi="Cambria"/>
          <w:sz w:val="22"/>
          <w:szCs w:val="22"/>
        </w:rPr>
        <w:t xml:space="preserve"> (lub dłuższy) otrzyma </w:t>
      </w:r>
      <w:r>
        <w:rPr>
          <w:rFonts w:cs="Arial" w:ascii="Cambria" w:hAnsi="Cambria"/>
          <w:b/>
          <w:sz w:val="22"/>
          <w:szCs w:val="22"/>
        </w:rPr>
        <w:t>28 punkty.</w:t>
      </w:r>
    </w:p>
    <w:p>
      <w:pPr>
        <w:pStyle w:val="Normal"/>
        <w:tabs>
          <w:tab w:val="clear" w:pos="708"/>
          <w:tab w:val="left" w:pos="576" w:leader="none"/>
          <w:tab w:val="left" w:pos="851" w:leader="none"/>
        </w:tabs>
        <w:spacing w:lineRule="auto" w:line="276" w:before="120" w:after="0"/>
        <w:ind w:left="1418"/>
        <w:jc w:val="both"/>
        <w:rPr/>
      </w:pPr>
      <w:r>
        <w:rPr>
          <w:rFonts w:cs="Arial" w:ascii="Cambria" w:hAnsi="Cambria"/>
          <w:sz w:val="22"/>
          <w:szCs w:val="22"/>
        </w:rPr>
        <w:t xml:space="preserve">W ramach kryterium “Wydłużony okres gwarancji” może zostać przyznanych </w:t>
        <w:br/>
        <w:t xml:space="preserve">max </w:t>
      </w:r>
      <w:r>
        <w:rPr>
          <w:rFonts w:cs="Arial" w:ascii="Cambria" w:hAnsi="Cambria"/>
          <w:b/>
          <w:sz w:val="22"/>
          <w:szCs w:val="22"/>
        </w:rPr>
        <w:t>28 punktów</w:t>
      </w:r>
      <w:r>
        <w:rPr>
          <w:rFonts w:cs="Arial" w:ascii="Cambria" w:hAnsi="Cambria"/>
          <w:sz w:val="22"/>
          <w:szCs w:val="22"/>
        </w:rPr>
        <w:t>. Brak informacji o wyborze okresu gwarancji oznacza zaoferowanie minimalnego okresu gwarancji wymaganego w niniejszej SWZ</w:t>
      </w:r>
    </w:p>
    <w:p>
      <w:pPr>
        <w:pStyle w:val="Normal"/>
        <w:numPr>
          <w:ilvl w:val="1"/>
          <w:numId w:val="18"/>
        </w:numPr>
        <w:tabs>
          <w:tab w:val="clear" w:pos="708"/>
          <w:tab w:val="left" w:pos="576" w:leader="none"/>
          <w:tab w:val="left" w:pos="720" w:leader="none"/>
          <w:tab w:val="left" w:pos="851" w:leader="none"/>
        </w:tabs>
        <w:suppressAutoHyphens w:val="false"/>
        <w:spacing w:lineRule="auto" w:line="276"/>
        <w:jc w:val="both"/>
        <w:rPr/>
      </w:pPr>
      <w:r>
        <w:rPr>
          <w:rFonts w:cs="Arial" w:ascii="Cambria" w:hAnsi="Cambria"/>
          <w:color w:themeColor="text1" w:val="000000"/>
          <w:sz w:val="22"/>
          <w:szCs w:val="22"/>
          <w:shd w:fill="FFFFFF" w:val="clear"/>
        </w:rPr>
        <w:t>Z uwagi na to, że kwalifikacje zawodowe osoby pełniącej samodzielne funkcje techniczne (kierownika budowy), mogą mieć znaczący wpływ na jakość wykonania zamówienia, Zamawiający – w zgodzie z art. 242 ust. 1 pkt. 5 p.z.p. – będzie przyznawał dodatkowe punkty wykonawcy, który zadeklaruje w ofercie, że wyznaczy do realizacji zamówienia:</w:t>
      </w:r>
      <w:r>
        <w:rPr>
          <w:rFonts w:cs="Arial" w:ascii="Cambria" w:hAnsi="Cambria"/>
          <w:color w:themeColor="text1" w:val="000000"/>
          <w:sz w:val="22"/>
          <w:szCs w:val="22"/>
        </w:rPr>
        <w:t xml:space="preserve"> </w:t>
      </w:r>
      <w:r>
        <w:rPr>
          <w:rFonts w:cs="Lucida Sans Unicode" w:ascii="Cambria" w:hAnsi="Cambria"/>
          <w:color w:themeColor="text1" w:val="000000"/>
          <w:sz w:val="22"/>
          <w:szCs w:val="22"/>
          <w:shd w:fill="FFFFFF" w:val="clear"/>
        </w:rPr>
        <w:t>kierownika budowy o podwyższonym doświadczeniu zawodowym.</w:t>
      </w:r>
      <w:r>
        <w:rPr>
          <w:rFonts w:ascii="Cambria" w:hAnsi="Cambria"/>
          <w:color w:themeColor="text1" w:val="000000"/>
          <w:sz w:val="22"/>
          <w:szCs w:val="22"/>
          <w:shd w:fill="FFFFFF" w:val="clear"/>
        </w:rPr>
        <w:t xml:space="preserve"> </w:t>
      </w:r>
    </w:p>
    <w:p>
      <w:pPr>
        <w:pStyle w:val="Normal"/>
        <w:tabs>
          <w:tab w:val="clear" w:pos="708"/>
          <w:tab w:val="left" w:pos="576" w:leader="none"/>
          <w:tab w:val="left" w:pos="851" w:leader="none"/>
        </w:tabs>
        <w:spacing w:lineRule="auto" w:line="276" w:before="120" w:after="0"/>
        <w:ind w:left="792"/>
        <w:jc w:val="both"/>
        <w:rPr/>
      </w:pPr>
      <w:r>
        <w:rPr>
          <w:rFonts w:ascii="Cambria" w:hAnsi="Cambria"/>
          <w:color w:themeColor="text1" w:val="000000"/>
          <w:sz w:val="22"/>
          <w:szCs w:val="22"/>
          <w:shd w:fill="FFFFFF" w:val="clear"/>
        </w:rPr>
        <w:t>Przez kierownika budowy o podwyższonym doświadczeniu zawodowym Zamawiający rozumie osobę,</w:t>
      </w:r>
      <w:r>
        <w:rPr>
          <w:rFonts w:cs="Arial" w:ascii="Cambria" w:hAnsi="Cambria"/>
          <w:color w:themeColor="text1" w:val="000000"/>
          <w:sz w:val="22"/>
          <w:szCs w:val="22"/>
          <w:shd w:fill="FFFFFF" w:val="clear"/>
        </w:rPr>
        <w:t xml:space="preserve"> która przy spełnianiu wymogów Zamawiającego w zakresie uprawnień kierowała większą</w:t>
      </w:r>
      <w:r>
        <w:rPr>
          <w:rFonts w:eastAsia="Tahoma" w:cs="Arial" w:ascii="Cambria" w:hAnsi="Cambria"/>
          <w:bCs/>
          <w:color w:themeColor="text1" w:val="000000"/>
          <w:sz w:val="22"/>
          <w:szCs w:val="22"/>
        </w:rPr>
        <w:t xml:space="preserve">, ponad wymagane przez Zamawiającego minimum (o którym mowa w sekcji III pkt. 1.2.2.b) ilością robót budowlanych. W ramach tego kryterium Zamawiający przyzna po </w:t>
      </w:r>
      <w:r>
        <w:rPr>
          <w:rFonts w:eastAsia="Tahoma" w:cs="Arial" w:ascii="Cambria" w:hAnsi="Cambria"/>
          <w:b/>
          <w:bCs/>
          <w:color w:themeColor="text1" w:val="000000"/>
          <w:sz w:val="22"/>
          <w:szCs w:val="22"/>
        </w:rPr>
        <w:t>3 punkty</w:t>
      </w:r>
      <w:r>
        <w:rPr>
          <w:rFonts w:eastAsia="Tahoma" w:cs="Arial" w:ascii="Cambria" w:hAnsi="Cambria"/>
          <w:bCs/>
          <w:color w:themeColor="text1" w:val="000000"/>
          <w:sz w:val="22"/>
          <w:szCs w:val="22"/>
        </w:rPr>
        <w:t xml:space="preserve"> za kierowanie – ponad wymagane minimum – każdą kolejną z robót budowlanych, o których mowa w zdaniu poprzedzającym, nie więcej jednak niż </w:t>
      </w:r>
      <w:r>
        <w:rPr>
          <w:rFonts w:eastAsia="Tahoma" w:cs="Arial" w:ascii="Cambria" w:hAnsi="Cambria"/>
          <w:b/>
          <w:bCs/>
          <w:color w:themeColor="text1" w:val="000000"/>
          <w:sz w:val="22"/>
          <w:szCs w:val="22"/>
        </w:rPr>
        <w:t>12 punktów</w:t>
      </w:r>
      <w:r>
        <w:rPr>
          <w:rFonts w:cs="Arial" w:ascii="Cambria" w:hAnsi="Cambria"/>
          <w:b/>
          <w:bCs/>
          <w:color w:themeColor="text1" w:val="000000"/>
          <w:sz w:val="22"/>
          <w:szCs w:val="22"/>
        </w:rPr>
        <w:t>.</w:t>
      </w:r>
    </w:p>
    <w:p>
      <w:pPr>
        <w:pStyle w:val="Normal"/>
        <w:numPr>
          <w:ilvl w:val="0"/>
          <w:numId w:val="18"/>
        </w:numPr>
        <w:tabs>
          <w:tab w:val="clear" w:pos="708"/>
          <w:tab w:val="left" w:pos="576" w:leader="none"/>
          <w:tab w:val="left" w:pos="720" w:leader="none"/>
          <w:tab w:val="left" w:pos="851" w:leader="none"/>
        </w:tabs>
        <w:suppressAutoHyphens w:val="false"/>
        <w:spacing w:lineRule="auto" w:line="276"/>
        <w:jc w:val="both"/>
        <w:rPr/>
      </w:pPr>
      <w:r>
        <w:rPr>
          <w:rFonts w:eastAsia="Tahoma" w:cs="Arial" w:ascii="Cambria" w:hAnsi="Cambria"/>
          <w:bCs/>
          <w:sz w:val="22"/>
          <w:szCs w:val="22"/>
        </w:rPr>
        <w:t>Najkorzystniejszą ofertą będzie oferta, której przyznana zostanie największa ilość punktów łącznie w kryteriach wskazanych w pkt 1.1 do 1.3 niniejszej sekcji.</w:t>
      </w:r>
    </w:p>
    <w:p>
      <w:pPr>
        <w:pStyle w:val="Normal"/>
        <w:tabs>
          <w:tab w:val="clear" w:pos="708"/>
          <w:tab w:val="left" w:pos="576" w:leader="none"/>
          <w:tab w:val="left" w:pos="720" w:leader="none"/>
          <w:tab w:val="left" w:pos="851" w:leader="none"/>
        </w:tabs>
        <w:suppressAutoHyphens w:val="false"/>
        <w:spacing w:lineRule="auto" w:line="276"/>
        <w:jc w:val="both"/>
        <w:rPr>
          <w:rFonts w:ascii="Cambria" w:hAnsi="Cambria" w:eastAsia="Tahoma" w:cs="Arial"/>
          <w:bCs/>
          <w:sz w:val="22"/>
          <w:szCs w:val="22"/>
        </w:rPr>
      </w:pPr>
      <w:r>
        <w:rPr>
          <w:rFonts w:eastAsia="Tahoma" w:cs="Arial" w:ascii="Cambria" w:hAnsi="Cambria"/>
          <w:bCs/>
          <w:sz w:val="22"/>
          <w:szCs w:val="22"/>
        </w:rPr>
      </w:r>
    </w:p>
    <w:p>
      <w:pPr>
        <w:pStyle w:val="Normal"/>
        <w:numPr>
          <w:ilvl w:val="0"/>
          <w:numId w:val="1"/>
        </w:numPr>
        <w:tabs>
          <w:tab w:val="clear" w:pos="708"/>
          <w:tab w:val="left" w:pos="464" w:leader="none"/>
        </w:tabs>
        <w:spacing w:lineRule="auto" w:line="276" w:before="120" w:after="120"/>
        <w:jc w:val="both"/>
        <w:rPr/>
      </w:pPr>
      <w:r>
        <w:rPr>
          <w:rFonts w:cs="Arial" w:ascii="Cambria" w:hAnsi="Cambria"/>
          <w:b/>
          <w:sz w:val="22"/>
          <w:szCs w:val="22"/>
        </w:rPr>
        <w:t>SPOSÓB OBLICZENIA CENY OFERTY</w:t>
      </w:r>
    </w:p>
    <w:p>
      <w:pPr>
        <w:pStyle w:val="Normal"/>
        <w:numPr>
          <w:ilvl w:val="0"/>
          <w:numId w:val="25"/>
        </w:numPr>
        <w:tabs>
          <w:tab w:val="clear" w:pos="708"/>
          <w:tab w:val="left" w:pos="576" w:leader="none"/>
          <w:tab w:val="left" w:pos="851" w:leader="none"/>
        </w:tabs>
        <w:spacing w:lineRule="auto" w:line="276"/>
        <w:jc w:val="both"/>
        <w:rPr/>
      </w:pPr>
      <w:r>
        <w:rPr>
          <w:rFonts w:cs="Tahoma" w:ascii="Cambria" w:hAnsi="Cambria"/>
          <w:sz w:val="22"/>
          <w:szCs w:val="22"/>
        </w:rPr>
        <w:t xml:space="preserve">Cena oferty będzie miała charakter ryczałtowy. Cenę z podatkiem VAT należy zamieścić </w:t>
        <w:br/>
        <w:t xml:space="preserve">w formularzu ofertowym (przygotowanym zgodnie z treścią formularza stanowiącego, załącznik nr 1 do niniejszej SWZ) jako cenę ofertową brutto </w:t>
      </w:r>
    </w:p>
    <w:p>
      <w:pPr>
        <w:pStyle w:val="Normal"/>
        <w:numPr>
          <w:ilvl w:val="0"/>
          <w:numId w:val="25"/>
        </w:numPr>
        <w:tabs>
          <w:tab w:val="clear" w:pos="708"/>
          <w:tab w:val="left" w:pos="576" w:leader="none"/>
          <w:tab w:val="left" w:pos="851" w:leader="none"/>
        </w:tabs>
        <w:spacing w:lineRule="auto" w:line="276" w:before="120" w:after="0"/>
        <w:jc w:val="both"/>
        <w:rPr/>
      </w:pPr>
      <w:r>
        <w:rPr>
          <w:rFonts w:cs="Tahoma" w:ascii="Cambria" w:hAnsi="Cambria"/>
          <w:sz w:val="22"/>
          <w:szCs w:val="22"/>
        </w:rPr>
        <w:t>Cena oferty musi być wyrażona w złotych polskich, cyfrowo i słownie, z dokładnością do dwóch miejsc po przecinku.</w:t>
      </w:r>
    </w:p>
    <w:p>
      <w:pPr>
        <w:pStyle w:val="Normal"/>
        <w:numPr>
          <w:ilvl w:val="0"/>
          <w:numId w:val="25"/>
        </w:numPr>
        <w:tabs>
          <w:tab w:val="clear" w:pos="708"/>
          <w:tab w:val="left" w:pos="576" w:leader="none"/>
          <w:tab w:val="left" w:pos="851" w:leader="none"/>
        </w:tabs>
        <w:spacing w:lineRule="auto" w:line="276"/>
        <w:jc w:val="both"/>
        <w:rPr/>
      </w:pPr>
      <w:r>
        <w:rPr>
          <w:rFonts w:cs="Tahoma" w:ascii="Cambria" w:hAnsi="Cambria"/>
          <w:color w:themeColor="text1" w:val="000000"/>
          <w:sz w:val="22"/>
          <w:szCs w:val="22"/>
        </w:rPr>
        <w:t xml:space="preserve">Podstawą kalkulacji są dokumenty wymienione w sekcji I pkt. 3.8 SWZ. </w:t>
      </w:r>
    </w:p>
    <w:p>
      <w:pPr>
        <w:pStyle w:val="Normal"/>
        <w:numPr>
          <w:ilvl w:val="0"/>
          <w:numId w:val="25"/>
        </w:numPr>
        <w:tabs>
          <w:tab w:val="clear" w:pos="708"/>
          <w:tab w:val="left" w:pos="576" w:leader="none"/>
          <w:tab w:val="left" w:pos="851" w:leader="none"/>
        </w:tabs>
        <w:spacing w:lineRule="auto" w:line="276"/>
        <w:jc w:val="both"/>
        <w:rPr/>
      </w:pPr>
      <w:r>
        <w:rPr>
          <w:rFonts w:cs="Tahoma" w:ascii="Cambria" w:hAnsi="Cambria"/>
          <w:sz w:val="22"/>
          <w:szCs w:val="22"/>
        </w:rPr>
        <w:t xml:space="preserve">W przypadku rozbieżności między dokumentacją projektową a przedmiarami robót, </w:t>
      </w:r>
      <w:r>
        <w:rPr>
          <w:rFonts w:cs="Tahoma" w:ascii="Cambria" w:hAnsi="Cambria"/>
          <w:b/>
          <w:bCs/>
          <w:sz w:val="22"/>
          <w:szCs w:val="22"/>
        </w:rPr>
        <w:t>jako podstawę należy przyjąć dokumentację projektową</w:t>
      </w:r>
      <w:r>
        <w:rPr>
          <w:rFonts w:cs="Tahoma" w:ascii="Cambria" w:hAnsi="Cambria"/>
          <w:sz w:val="22"/>
          <w:szCs w:val="22"/>
        </w:rPr>
        <w:t>. Przedmiary mają charakter wyłącznie pomocniczy i służą wyłącznie w celu ułatwienia Wykonawcy obliczenia ceny oferty.</w:t>
      </w:r>
    </w:p>
    <w:p>
      <w:pPr>
        <w:pStyle w:val="Normal"/>
        <w:numPr>
          <w:ilvl w:val="0"/>
          <w:numId w:val="25"/>
        </w:numPr>
        <w:tabs>
          <w:tab w:val="clear" w:pos="708"/>
          <w:tab w:val="left" w:pos="576" w:leader="none"/>
          <w:tab w:val="left" w:pos="851" w:leader="none"/>
        </w:tabs>
        <w:spacing w:lineRule="auto" w:line="276"/>
        <w:jc w:val="both"/>
        <w:rPr/>
      </w:pPr>
      <w:r>
        <w:rPr>
          <w:rFonts w:cs="Tahoma" w:ascii="Cambria" w:hAnsi="Cambria"/>
          <w:sz w:val="22"/>
          <w:szCs w:val="22"/>
        </w:rPr>
        <w:t>Cena oferty powinna obejmować całkowity koszt wykonania przedmiotu zamówienia w tym również wszelkie koszty towarzyszące prawidłowemu wykonaniu przedmiotu zamówienia o których mowa w SWZ, które powinny być ujęte w pozycjach przedmiarowych w tym w szczególności:</w:t>
      </w:r>
    </w:p>
    <w:p>
      <w:pPr>
        <w:pStyle w:val="Normal"/>
        <w:numPr>
          <w:ilvl w:val="0"/>
          <w:numId w:val="24"/>
        </w:numPr>
        <w:tabs>
          <w:tab w:val="clear" w:pos="708"/>
          <w:tab w:val="left" w:pos="851" w:leader="none"/>
        </w:tabs>
        <w:spacing w:lineRule="auto" w:line="276"/>
        <w:jc w:val="both"/>
        <w:rPr/>
      </w:pPr>
      <w:r>
        <w:rPr>
          <w:rFonts w:cs="Tahoma" w:ascii="Cambria" w:hAnsi="Cambria"/>
          <w:sz w:val="22"/>
          <w:szCs w:val="22"/>
        </w:rPr>
        <w:t>koszty ogólne, koszty zakupu, koszty pośrednie, zysk;</w:t>
      </w:r>
    </w:p>
    <w:p>
      <w:pPr>
        <w:pStyle w:val="Normal"/>
        <w:numPr>
          <w:ilvl w:val="0"/>
          <w:numId w:val="24"/>
        </w:numPr>
        <w:tabs>
          <w:tab w:val="clear" w:pos="708"/>
          <w:tab w:val="left" w:pos="851" w:leader="none"/>
        </w:tabs>
        <w:spacing w:lineRule="auto" w:line="276"/>
        <w:jc w:val="both"/>
        <w:rPr/>
      </w:pPr>
      <w:r>
        <w:rPr>
          <w:rFonts w:cs="Tahoma" w:ascii="Cambria" w:hAnsi="Cambria"/>
          <w:sz w:val="22"/>
          <w:szCs w:val="22"/>
        </w:rPr>
        <w:t>koszty dojazdu, podatków, opłaty celne i inne czynniki;</w:t>
      </w:r>
    </w:p>
    <w:p>
      <w:pPr>
        <w:pStyle w:val="Normal"/>
        <w:numPr>
          <w:ilvl w:val="0"/>
          <w:numId w:val="24"/>
        </w:numPr>
        <w:tabs>
          <w:tab w:val="clear" w:pos="708"/>
          <w:tab w:val="left" w:pos="851" w:leader="none"/>
        </w:tabs>
        <w:spacing w:lineRule="auto" w:line="276"/>
        <w:jc w:val="both"/>
        <w:rPr/>
      </w:pPr>
      <w:r>
        <w:rPr>
          <w:rFonts w:cs="Tahoma" w:ascii="Cambria" w:hAnsi="Cambria"/>
          <w:sz w:val="22"/>
          <w:szCs w:val="22"/>
        </w:rPr>
        <w:t>koszty ubezpieczenia;</w:t>
      </w:r>
    </w:p>
    <w:p>
      <w:pPr>
        <w:pStyle w:val="Normal"/>
        <w:numPr>
          <w:ilvl w:val="0"/>
          <w:numId w:val="24"/>
        </w:numPr>
        <w:tabs>
          <w:tab w:val="clear" w:pos="708"/>
          <w:tab w:val="left" w:pos="851" w:leader="none"/>
        </w:tabs>
        <w:spacing w:lineRule="auto" w:line="276"/>
        <w:jc w:val="both"/>
        <w:rPr/>
      </w:pPr>
      <w:r>
        <w:rPr>
          <w:rFonts w:cs="Tahoma" w:ascii="Cambria" w:hAnsi="Cambria"/>
          <w:sz w:val="22"/>
          <w:szCs w:val="22"/>
        </w:rPr>
        <w:t>koszty wykonania robót budowlanych i prac;</w:t>
      </w:r>
    </w:p>
    <w:p>
      <w:pPr>
        <w:pStyle w:val="Normal"/>
        <w:numPr>
          <w:ilvl w:val="0"/>
          <w:numId w:val="24"/>
        </w:numPr>
        <w:tabs>
          <w:tab w:val="clear" w:pos="708"/>
          <w:tab w:val="left" w:pos="851" w:leader="none"/>
        </w:tabs>
        <w:spacing w:lineRule="auto" w:line="276"/>
        <w:jc w:val="both"/>
        <w:rPr/>
      </w:pPr>
      <w:r>
        <w:rPr>
          <w:rFonts w:cs="Tahoma" w:ascii="Cambria" w:hAnsi="Cambria"/>
          <w:sz w:val="22"/>
          <w:szCs w:val="22"/>
        </w:rPr>
        <w:t>koszty wykonania dokumentów odbiorowych i inwentaryzacji powykonawczej;</w:t>
      </w:r>
    </w:p>
    <w:p>
      <w:pPr>
        <w:pStyle w:val="Normal"/>
        <w:numPr>
          <w:ilvl w:val="0"/>
          <w:numId w:val="24"/>
        </w:numPr>
        <w:tabs>
          <w:tab w:val="clear" w:pos="708"/>
          <w:tab w:val="left" w:pos="851" w:leader="none"/>
        </w:tabs>
        <w:spacing w:lineRule="auto" w:line="276"/>
        <w:jc w:val="both"/>
        <w:rPr/>
      </w:pPr>
      <w:r>
        <w:rPr>
          <w:rFonts w:cs="Tahoma" w:ascii="Cambria" w:hAnsi="Cambria"/>
          <w:sz w:val="22"/>
          <w:szCs w:val="22"/>
        </w:rPr>
        <w:t>koszty wykonania wszelkich dokumentów niezbędnych do złożenia do stosowanego Inspektoratu Nadzoru budowlanego w celu uzyskania pozwolenia na użytkowanie;</w:t>
      </w:r>
    </w:p>
    <w:p>
      <w:pPr>
        <w:pStyle w:val="Normal"/>
        <w:numPr>
          <w:ilvl w:val="0"/>
          <w:numId w:val="24"/>
        </w:numPr>
        <w:tabs>
          <w:tab w:val="clear" w:pos="708"/>
          <w:tab w:val="left" w:pos="851" w:leader="none"/>
        </w:tabs>
        <w:spacing w:lineRule="auto" w:line="276"/>
        <w:jc w:val="both"/>
        <w:rPr/>
      </w:pPr>
      <w:r>
        <w:rPr>
          <w:rFonts w:cs="Tahoma" w:ascii="Cambria" w:hAnsi="Cambria"/>
          <w:sz w:val="22"/>
          <w:szCs w:val="22"/>
        </w:rPr>
        <w:t>koszty wynikające z zapewnienia sprzętu, materiałów biurowych i innych środków;</w:t>
      </w:r>
    </w:p>
    <w:p>
      <w:pPr>
        <w:pStyle w:val="Normal"/>
        <w:numPr>
          <w:ilvl w:val="0"/>
          <w:numId w:val="24"/>
        </w:numPr>
        <w:tabs>
          <w:tab w:val="clear" w:pos="708"/>
          <w:tab w:val="left" w:pos="851" w:leader="none"/>
        </w:tabs>
        <w:spacing w:lineRule="auto" w:line="276"/>
        <w:jc w:val="both"/>
        <w:rPr/>
      </w:pPr>
      <w:r>
        <w:rPr>
          <w:rFonts w:cs="Tahoma" w:ascii="Cambria" w:hAnsi="Cambria"/>
          <w:sz w:val="22"/>
          <w:szCs w:val="22"/>
        </w:rPr>
        <w:t>koszty usuwania wad i usterek, które wystąpią w okresie realizacji umowy, a także w okresie  rękojmi i gwarancji;</w:t>
      </w:r>
    </w:p>
    <w:p>
      <w:pPr>
        <w:pStyle w:val="Normal"/>
        <w:numPr>
          <w:ilvl w:val="0"/>
          <w:numId w:val="24"/>
        </w:numPr>
        <w:tabs>
          <w:tab w:val="clear" w:pos="708"/>
          <w:tab w:val="left" w:pos="851" w:leader="none"/>
        </w:tabs>
        <w:spacing w:lineRule="auto" w:line="276"/>
        <w:jc w:val="both"/>
        <w:rPr/>
      </w:pPr>
      <w:r>
        <w:rPr>
          <w:rFonts w:cs="Tahoma" w:ascii="Cambria" w:hAnsi="Cambria"/>
          <w:sz w:val="22"/>
          <w:szCs w:val="22"/>
        </w:rPr>
        <w:t>koszty organizacji ruchu na czas budowy wraz z projektem;</w:t>
      </w:r>
    </w:p>
    <w:p>
      <w:pPr>
        <w:pStyle w:val="Normal"/>
        <w:numPr>
          <w:ilvl w:val="0"/>
          <w:numId w:val="24"/>
        </w:numPr>
        <w:tabs>
          <w:tab w:val="clear" w:pos="708"/>
          <w:tab w:val="left" w:pos="851" w:leader="none"/>
        </w:tabs>
        <w:spacing w:lineRule="auto" w:line="276"/>
        <w:jc w:val="both"/>
        <w:rPr/>
      </w:pPr>
      <w:r>
        <w:rPr>
          <w:rFonts w:cs="Tahoma" w:ascii="Cambria" w:hAnsi="Cambria"/>
          <w:sz w:val="22"/>
          <w:szCs w:val="22"/>
        </w:rPr>
        <w:t xml:space="preserve">koszty obsługi geodezyjnej, w tym dokumentacji geodezyjnej powykonawczej, </w:t>
      </w:r>
    </w:p>
    <w:p>
      <w:pPr>
        <w:pStyle w:val="Normal"/>
        <w:numPr>
          <w:ilvl w:val="0"/>
          <w:numId w:val="24"/>
        </w:numPr>
        <w:tabs>
          <w:tab w:val="clear" w:pos="708"/>
          <w:tab w:val="left" w:pos="851" w:leader="none"/>
        </w:tabs>
        <w:spacing w:lineRule="auto" w:line="276"/>
        <w:jc w:val="both"/>
        <w:rPr/>
      </w:pPr>
      <w:r>
        <w:rPr>
          <w:rFonts w:cs="Tahoma" w:ascii="Cambria" w:hAnsi="Cambria"/>
          <w:sz w:val="22"/>
          <w:szCs w:val="22"/>
        </w:rPr>
        <w:t>koszty badania zagęszczenia gruntu, opracowania i uzgodnienia dokumentacji powykonawczej;</w:t>
      </w:r>
    </w:p>
    <w:p>
      <w:pPr>
        <w:pStyle w:val="Normal"/>
        <w:numPr>
          <w:ilvl w:val="0"/>
          <w:numId w:val="24"/>
        </w:numPr>
        <w:tabs>
          <w:tab w:val="clear" w:pos="708"/>
          <w:tab w:val="left" w:pos="851" w:leader="none"/>
        </w:tabs>
        <w:spacing w:lineRule="auto" w:line="276"/>
        <w:jc w:val="both"/>
        <w:rPr/>
      </w:pPr>
      <w:r>
        <w:rPr>
          <w:rFonts w:cs="Tahoma" w:ascii="Cambria" w:hAnsi="Cambria"/>
          <w:sz w:val="22"/>
          <w:szCs w:val="22"/>
        </w:rPr>
        <w:t xml:space="preserve">pozostałe koszty związane z przeprowadzeniem prób i badań technicznych zgodnie z postanowieniami </w:t>
      </w:r>
      <w:r>
        <w:rPr>
          <w:rFonts w:ascii="Cambria" w:hAnsi="Cambria"/>
          <w:sz w:val="22"/>
          <w:szCs w:val="22"/>
        </w:rPr>
        <w:t>specyfikacji technicznymi wykonania i odbioru robót budowlanych</w:t>
      </w:r>
      <w:r>
        <w:rPr>
          <w:rFonts w:cs="Tahoma" w:ascii="Cambria" w:hAnsi="Cambria"/>
          <w:sz w:val="22"/>
          <w:szCs w:val="22"/>
        </w:rPr>
        <w:t>;</w:t>
      </w:r>
    </w:p>
    <w:p>
      <w:pPr>
        <w:pStyle w:val="Normal"/>
        <w:numPr>
          <w:ilvl w:val="0"/>
          <w:numId w:val="24"/>
        </w:numPr>
        <w:tabs>
          <w:tab w:val="clear" w:pos="708"/>
          <w:tab w:val="left" w:pos="851" w:leader="none"/>
        </w:tabs>
        <w:spacing w:lineRule="auto" w:line="276"/>
        <w:jc w:val="both"/>
        <w:rPr/>
      </w:pPr>
      <w:r>
        <w:rPr>
          <w:rFonts w:cs="Tahoma" w:ascii="Cambria" w:hAnsi="Cambria"/>
          <w:sz w:val="22"/>
          <w:szCs w:val="22"/>
        </w:rPr>
        <w:t xml:space="preserve">koszty związane z odbiorami częściowymi (jak np. Sanepid, straż pożarna itp.) i uzyskaniem pozytywnych protokołów odbioru po zakończeniu budowy jak i kosztami związanymi z uzyskaniem pozytywnego protokołu skutkującym uzyskaniem pozwolenia na użytkowanie oraz koszty dokumentów związanych z uzyskaniem dokumentów zezwalających na dojazd do budowy samochodów ciężarowych przekraczających dopuszczalnych na danych drogach tonaż, </w:t>
      </w:r>
    </w:p>
    <w:p>
      <w:pPr>
        <w:pStyle w:val="Normal"/>
        <w:numPr>
          <w:ilvl w:val="0"/>
          <w:numId w:val="24"/>
        </w:numPr>
        <w:tabs>
          <w:tab w:val="clear" w:pos="708"/>
          <w:tab w:val="left" w:pos="851" w:leader="none"/>
        </w:tabs>
        <w:spacing w:lineRule="auto" w:line="276"/>
        <w:jc w:val="both"/>
        <w:rPr/>
      </w:pPr>
      <w:r>
        <w:rPr>
          <w:rFonts w:cs="Tahoma" w:ascii="Cambria" w:hAnsi="Cambria"/>
          <w:sz w:val="22"/>
          <w:szCs w:val="22"/>
        </w:rPr>
        <w:t xml:space="preserve">kosztów związanych z przywróceniem stanu poprzedniego (zmienionego w związku z prowadzonymi robotami) eksploatowanych dróg </w:t>
      </w:r>
      <w:r>
        <w:rPr>
          <w:rFonts w:cs="Tahoma" w:ascii="Cambria" w:hAnsi="Cambria"/>
          <w:color w:themeColor="text1" w:val="000000"/>
          <w:sz w:val="22"/>
          <w:szCs w:val="22"/>
        </w:rPr>
        <w:t>i wszystkich działek prywatnych znajdujących się bezpośrednio lub pośrednio w otoczeniu inwestycji</w:t>
      </w:r>
      <w:r>
        <w:rPr>
          <w:rFonts w:cs="Tahoma" w:ascii="Cambria" w:hAnsi="Cambria"/>
          <w:sz w:val="22"/>
          <w:szCs w:val="22"/>
        </w:rPr>
        <w:t>;</w:t>
      </w:r>
    </w:p>
    <w:p>
      <w:pPr>
        <w:pStyle w:val="Normal"/>
        <w:numPr>
          <w:ilvl w:val="0"/>
          <w:numId w:val="24"/>
        </w:numPr>
        <w:tabs>
          <w:tab w:val="clear" w:pos="708"/>
          <w:tab w:val="left" w:pos="851" w:leader="none"/>
        </w:tabs>
        <w:spacing w:lineRule="auto" w:line="276"/>
        <w:jc w:val="both"/>
        <w:rPr/>
      </w:pPr>
      <w:r>
        <w:rPr>
          <w:rFonts w:cs="Tahoma" w:ascii="Cambria" w:hAnsi="Cambria"/>
          <w:sz w:val="22"/>
          <w:szCs w:val="22"/>
        </w:rPr>
        <w:t>koszty związane z uzyskaniem wszelkich wymaganych prawem zezwoleń i pozwoleń, a koniecznych dla realizacji przedmiotu zamówienia;</w:t>
      </w:r>
    </w:p>
    <w:p>
      <w:pPr>
        <w:pStyle w:val="Normal"/>
        <w:numPr>
          <w:ilvl w:val="0"/>
          <w:numId w:val="24"/>
        </w:numPr>
        <w:tabs>
          <w:tab w:val="clear" w:pos="708"/>
          <w:tab w:val="left" w:pos="851" w:leader="none"/>
        </w:tabs>
        <w:spacing w:lineRule="auto" w:line="276"/>
        <w:jc w:val="both"/>
        <w:rPr/>
      </w:pPr>
      <w:r>
        <w:rPr>
          <w:rFonts w:cs="Tahoma" w:ascii="Cambria" w:hAnsi="Cambria"/>
          <w:sz w:val="22"/>
          <w:szCs w:val="22"/>
        </w:rPr>
        <w:t>koszty związane z odwozem i składowaniem poza terenem budowy ziemi, gruzu i odpadów pozostałych w wyniku prowadzenia prac budowlanych związanych z przedmiotem zamówienia, jak również koszty wywozu ziemi na odkład;</w:t>
      </w:r>
    </w:p>
    <w:p>
      <w:pPr>
        <w:pStyle w:val="Normal"/>
        <w:numPr>
          <w:ilvl w:val="0"/>
          <w:numId w:val="24"/>
        </w:numPr>
        <w:tabs>
          <w:tab w:val="clear" w:pos="708"/>
          <w:tab w:val="left" w:pos="851" w:leader="none"/>
        </w:tabs>
        <w:spacing w:lineRule="auto" w:line="276"/>
        <w:jc w:val="both"/>
        <w:rPr/>
      </w:pPr>
      <w:r>
        <w:rPr>
          <w:rFonts w:cs="Tahoma" w:ascii="Cambria" w:hAnsi="Cambria"/>
          <w:sz w:val="22"/>
          <w:szCs w:val="22"/>
        </w:rPr>
        <w:t>koszty związane z wykonaniem</w:t>
      </w:r>
      <w:r>
        <w:rPr>
          <w:rFonts w:cs="Calibri" w:ascii="Cambria" w:hAnsi="Cambria"/>
          <w:sz w:val="22"/>
          <w:szCs w:val="22"/>
        </w:rPr>
        <w:t xml:space="preserve"> i organizacją zaplecza budowy jak również oznakowaniu budowy i dróg bezpośrednio przed wjazdem na budowę,</w:t>
      </w:r>
    </w:p>
    <w:p>
      <w:pPr>
        <w:pStyle w:val="Normal"/>
        <w:numPr>
          <w:ilvl w:val="0"/>
          <w:numId w:val="24"/>
        </w:numPr>
        <w:tabs>
          <w:tab w:val="clear" w:pos="708"/>
          <w:tab w:val="left" w:pos="851" w:leader="none"/>
        </w:tabs>
        <w:spacing w:lineRule="auto" w:line="276"/>
        <w:jc w:val="both"/>
        <w:rPr/>
      </w:pPr>
      <w:r>
        <w:rPr>
          <w:rFonts w:cs="Calibri" w:ascii="Cambria" w:hAnsi="Cambria"/>
          <w:sz w:val="22"/>
          <w:szCs w:val="22"/>
        </w:rPr>
        <w:t xml:space="preserve">koszty wynikające z uzgodnień branżowych projektu budowlanego </w:t>
        <w:br/>
        <w:t xml:space="preserve">i wykonawczego, koszty wynikające z konieczności wykonania opracowań projektowych niezbędnych do wykonania prac o których mowa w projektach, </w:t>
      </w:r>
    </w:p>
    <w:p>
      <w:pPr>
        <w:pStyle w:val="Normal"/>
        <w:numPr>
          <w:ilvl w:val="0"/>
          <w:numId w:val="24"/>
        </w:numPr>
        <w:tabs>
          <w:tab w:val="clear" w:pos="708"/>
          <w:tab w:val="left" w:pos="851" w:leader="none"/>
        </w:tabs>
        <w:spacing w:lineRule="auto" w:line="276"/>
        <w:jc w:val="both"/>
        <w:rPr/>
      </w:pPr>
      <w:r>
        <w:rPr>
          <w:rFonts w:cs="Calibri" w:ascii="Cambria" w:hAnsi="Cambria"/>
          <w:sz w:val="22"/>
          <w:szCs w:val="22"/>
        </w:rPr>
        <w:t>kosztów usuwania wad i usterek w okresie rękojmi i gwarancji, w tym również koszty wymaganych przez producentów zamontowanych urządzeń, bezpłatnych przeglądów, konserwacji tych urządzeń oraz ewentualnych ich napraw.</w:t>
      </w:r>
    </w:p>
    <w:p>
      <w:pPr>
        <w:pStyle w:val="Normal"/>
        <w:numPr>
          <w:ilvl w:val="0"/>
          <w:numId w:val="25"/>
        </w:numPr>
        <w:tabs>
          <w:tab w:val="clear" w:pos="708"/>
          <w:tab w:val="left" w:pos="576" w:leader="none"/>
          <w:tab w:val="left" w:pos="851" w:leader="none"/>
        </w:tabs>
        <w:spacing w:lineRule="auto" w:line="276"/>
        <w:jc w:val="both"/>
        <w:rPr/>
      </w:pPr>
      <w:r>
        <w:rPr>
          <w:rFonts w:cs="Tahoma" w:ascii="Cambria" w:hAnsi="Cambria"/>
          <w:sz w:val="22"/>
          <w:szCs w:val="22"/>
        </w:rPr>
        <w:t>Wszystkie błędy ujawnione w dokumentacji projektowej (na rysunkach), w specyfikacjach technicznych wykonania i odbioru robót oraz w Przedmiarach robót Wykonawca powinien zgłosić Zamawiającemu przed terminem składania ofert.</w:t>
      </w:r>
    </w:p>
    <w:p>
      <w:pPr>
        <w:pStyle w:val="Normal"/>
        <w:numPr>
          <w:ilvl w:val="0"/>
          <w:numId w:val="25"/>
        </w:numPr>
        <w:tabs>
          <w:tab w:val="clear" w:pos="708"/>
          <w:tab w:val="left" w:pos="576" w:leader="none"/>
          <w:tab w:val="left" w:pos="851" w:leader="none"/>
        </w:tabs>
        <w:spacing w:lineRule="auto" w:line="276"/>
        <w:jc w:val="both"/>
        <w:rPr/>
      </w:pPr>
      <w:r>
        <w:rPr>
          <w:rFonts w:cs="Tahoma" w:ascii="Cambria" w:hAnsi="Cambria"/>
          <w:sz w:val="22"/>
          <w:szCs w:val="22"/>
        </w:rPr>
        <w:t>Oferta (wycena) obejmować będzie wszelkie ryzyko i odpowiedzialność Wykonawcy prawidłowego oszacowania wszelkich kosztów związanych z realizacją przedmiotu zamówienia, a także przewidzenia innych czynników mających lub mogących mieć wpływ na te koszty.</w:t>
      </w:r>
    </w:p>
    <w:p>
      <w:pPr>
        <w:pStyle w:val="Normal"/>
        <w:numPr>
          <w:ilvl w:val="0"/>
          <w:numId w:val="25"/>
        </w:numPr>
        <w:tabs>
          <w:tab w:val="clear" w:pos="708"/>
          <w:tab w:val="left" w:pos="576" w:leader="none"/>
          <w:tab w:val="left" w:pos="851" w:leader="none"/>
        </w:tabs>
        <w:spacing w:lineRule="auto" w:line="276"/>
        <w:jc w:val="both"/>
        <w:rPr/>
      </w:pPr>
      <w:bookmarkStart w:id="6" w:name="_Hlk508968360"/>
      <w:r>
        <w:rPr>
          <w:rFonts w:cs="Tahoma" w:ascii="Cambria" w:hAnsi="Cambria"/>
          <w:sz w:val="22"/>
          <w:szCs w:val="22"/>
        </w:rPr>
        <w:t xml:space="preserve">Tam, gdzie na rysunkach, w specyfikacjach technicznych wykonania i odbioru robót, przedmiarze lub innych elementach opisu przedmiotu zamówienia zostało wskazane </w:t>
      </w:r>
      <w:bookmarkEnd w:id="6"/>
      <w:r>
        <w:rPr>
          <w:rFonts w:cs="Tahoma" w:ascii="Cambria" w:hAnsi="Cambria"/>
          <w:sz w:val="22"/>
          <w:szCs w:val="22"/>
        </w:rPr>
        <w:t>pochodzenie materiałów przez podanie marki, znaku towarowego, producenta, dostawcy uważa się że pochodzenie to zostało wskazane przypadkowo i należy je traktować jako niewiążące dla Wykonawcy. Zapisy takie należy rozumieć wyłącznie jako określenie wymaganych parametrów technicznych lub standardów. Oznacza to, że w odniesieniu do materiałów (wyrobów) i urządzeń jakościowych wskazanych z nazwy Zamawiający dopuszcza zastosowanie materiałów (wyrobów) i urządzeń równoważnych, tj. o jakości nie gorszej niż opisane w dokumentacji technicznej.</w:t>
      </w:r>
    </w:p>
    <w:p>
      <w:pPr>
        <w:pStyle w:val="Normal"/>
        <w:numPr>
          <w:ilvl w:val="0"/>
          <w:numId w:val="25"/>
        </w:numPr>
        <w:tabs>
          <w:tab w:val="clear" w:pos="708"/>
          <w:tab w:val="left" w:pos="576" w:leader="none"/>
          <w:tab w:val="left" w:pos="851" w:leader="none"/>
        </w:tabs>
        <w:spacing w:lineRule="auto" w:line="276"/>
        <w:jc w:val="both"/>
        <w:rPr/>
      </w:pPr>
      <w:r>
        <w:rPr>
          <w:rFonts w:cs="Tahoma" w:ascii="Cambria" w:hAnsi="Cambria"/>
          <w:sz w:val="22"/>
          <w:szCs w:val="22"/>
        </w:rPr>
        <w:t>Tam, gdzie na rysunkach, w specyfikacjach technicznych wykonania i odbioru robót, przedmiarze lub innych elementach opisu przedmiotu zamówienia zostało wskazane odniesienie do norm,  ocen technicznych, specyfikacji technicznych i systemów referencji technicznych, o których mowa w art. 101 p.z.p, Zamawiający dopuszcza rozwiązania równoważne. Wykonawca, który powołuje się na rozwiązania równoważne opisywane przez Zamawiającego, jest obowiązany wykazać, że oferowane przez niego dostawy, usługi lub roboty budowlane spełniają wymagania określone przez Zamawiającego.</w:t>
      </w:r>
    </w:p>
    <w:p>
      <w:pPr>
        <w:pStyle w:val="Normal"/>
        <w:numPr>
          <w:ilvl w:val="0"/>
          <w:numId w:val="25"/>
        </w:numPr>
        <w:tabs>
          <w:tab w:val="clear" w:pos="708"/>
          <w:tab w:val="left" w:pos="576" w:leader="none"/>
          <w:tab w:val="left" w:pos="851" w:leader="none"/>
        </w:tabs>
        <w:spacing w:lineRule="auto" w:line="276"/>
        <w:jc w:val="both"/>
        <w:rPr/>
      </w:pPr>
      <w:r>
        <w:rPr>
          <w:rFonts w:cs="Tahoma" w:ascii="Cambria" w:hAnsi="Cambria"/>
          <w:sz w:val="22"/>
          <w:szCs w:val="22"/>
        </w:rPr>
        <w:t xml:space="preserve">Jeżeli została złożona oferta, której wybór prowadziłby do powstania u zamawiającego obowiązku podatkowego zgodnie z </w:t>
      </w:r>
      <w:r>
        <w:fldChar w:fldCharType="begin"/>
      </w:r>
      <w:r>
        <w:rPr>
          <w:rStyle w:val="Style8"/>
          <w:sz w:val="22"/>
          <w:szCs w:val="22"/>
          <w:rFonts w:cs="Tahoma" w:ascii="Cambria" w:hAnsi="Cambria"/>
        </w:rPr>
        <w:instrText xml:space="preserve"> HYPERLINK "https://sip.lex.pl/" \l "/document/17086198?cm=DOCUMENT"</w:instrText>
      </w:r>
      <w:r>
        <w:rPr>
          <w:rStyle w:val="Style8"/>
          <w:sz w:val="22"/>
          <w:szCs w:val="22"/>
          <w:rFonts w:cs="Tahoma" w:ascii="Cambria" w:hAnsi="Cambria"/>
        </w:rPr>
        <w:fldChar w:fldCharType="separate"/>
      </w:r>
      <w:r>
        <w:rPr>
          <w:rStyle w:val="Style8"/>
          <w:rFonts w:cs="Tahoma" w:ascii="Cambria" w:hAnsi="Cambria"/>
          <w:sz w:val="22"/>
          <w:szCs w:val="22"/>
        </w:rPr>
        <w:t>ustawą</w:t>
      </w:r>
      <w:r>
        <w:rPr>
          <w:rStyle w:val="Style8"/>
          <w:sz w:val="22"/>
          <w:szCs w:val="22"/>
          <w:rFonts w:cs="Tahoma" w:ascii="Cambria" w:hAnsi="Cambria"/>
        </w:rPr>
        <w:fldChar w:fldCharType="end"/>
      </w:r>
      <w:r>
        <w:rPr>
          <w:rFonts w:cs="Tahoma" w:ascii="Cambria" w:hAnsi="Cambria"/>
          <w:sz w:val="22"/>
          <w:szCs w:val="22"/>
        </w:rPr>
        <w:t xml:space="preserve"> z dnia 11 marca 2004 r. o podatku od towarów i usług (Dz. U. z 2018 r. poz. 2174, z późn. zm.), dla celów zastosowania kryterium ceny lub kosztu zamawiający dolicza do przedstawionej w tej ofercie ceny kwotę podatku od towarów i usług, którą miałby obowiązek rozliczyć.</w:t>
      </w:r>
    </w:p>
    <w:p>
      <w:pPr>
        <w:pStyle w:val="Normal"/>
        <w:numPr>
          <w:ilvl w:val="0"/>
          <w:numId w:val="25"/>
        </w:numPr>
        <w:tabs>
          <w:tab w:val="clear" w:pos="708"/>
          <w:tab w:val="left" w:pos="576" w:leader="none"/>
          <w:tab w:val="left" w:pos="851" w:leader="none"/>
        </w:tabs>
        <w:spacing w:lineRule="auto" w:line="276"/>
        <w:jc w:val="both"/>
        <w:rPr/>
      </w:pPr>
      <w:r>
        <w:rPr>
          <w:rFonts w:cs="Tahoma" w:ascii="Cambria" w:hAnsi="Cambria"/>
          <w:sz w:val="22"/>
          <w:szCs w:val="22"/>
        </w:rPr>
        <w:t>W ofercie, o której mowa w ust. 11, wykonawca ma obowiązek:</w:t>
      </w:r>
    </w:p>
    <w:p>
      <w:pPr>
        <w:pStyle w:val="Normal"/>
        <w:numPr>
          <w:ilvl w:val="0"/>
          <w:numId w:val="11"/>
        </w:numPr>
        <w:tabs>
          <w:tab w:val="clear" w:pos="708"/>
          <w:tab w:val="left" w:pos="360" w:leader="none"/>
        </w:tabs>
        <w:spacing w:lineRule="auto" w:line="276" w:before="6" w:after="6"/>
        <w:jc w:val="both"/>
        <w:rPr/>
      </w:pPr>
      <w:r>
        <w:rPr>
          <w:rFonts w:cs="Arial" w:ascii="Cambria" w:hAnsi="Cambria"/>
          <w:sz w:val="22"/>
          <w:szCs w:val="22"/>
        </w:rPr>
        <w:t>poinformowania zamawiającego, że wybór jego oferty będzie prowadził do powstania u zamawiającego obowiązku podatkowego;</w:t>
      </w:r>
    </w:p>
    <w:p>
      <w:pPr>
        <w:pStyle w:val="Normal"/>
        <w:numPr>
          <w:ilvl w:val="0"/>
          <w:numId w:val="11"/>
        </w:numPr>
        <w:tabs>
          <w:tab w:val="clear" w:pos="708"/>
          <w:tab w:val="left" w:pos="360" w:leader="none"/>
        </w:tabs>
        <w:spacing w:lineRule="auto" w:line="276" w:before="6" w:after="6"/>
        <w:jc w:val="both"/>
        <w:rPr/>
      </w:pPr>
      <w:r>
        <w:rPr>
          <w:rFonts w:cs="Arial" w:ascii="Cambria" w:hAnsi="Cambria"/>
          <w:sz w:val="22"/>
          <w:szCs w:val="22"/>
        </w:rPr>
        <w:t>wskazania nazwy (rodzaju) towaru lub usługi, których dostawa lub świadczenie będą prowadziły do powstania obowiązku podatkowego;</w:t>
      </w:r>
    </w:p>
    <w:p>
      <w:pPr>
        <w:pStyle w:val="Normal"/>
        <w:numPr>
          <w:ilvl w:val="0"/>
          <w:numId w:val="11"/>
        </w:numPr>
        <w:tabs>
          <w:tab w:val="clear" w:pos="708"/>
          <w:tab w:val="left" w:pos="360" w:leader="none"/>
        </w:tabs>
        <w:spacing w:lineRule="auto" w:line="276" w:before="6" w:after="6"/>
        <w:jc w:val="both"/>
        <w:rPr/>
      </w:pPr>
      <w:r>
        <w:rPr>
          <w:rFonts w:cs="Arial" w:ascii="Cambria" w:hAnsi="Cambria"/>
          <w:sz w:val="22"/>
          <w:szCs w:val="22"/>
        </w:rPr>
        <w:t>wskazania wartości towaru lub usługi objętego obowiązkiem podatkowym zamawiającego, bez kwoty podatku;</w:t>
      </w:r>
    </w:p>
    <w:p>
      <w:pPr>
        <w:pStyle w:val="Normal"/>
        <w:numPr>
          <w:ilvl w:val="0"/>
          <w:numId w:val="11"/>
        </w:numPr>
        <w:tabs>
          <w:tab w:val="clear" w:pos="708"/>
          <w:tab w:val="left" w:pos="360" w:leader="none"/>
        </w:tabs>
        <w:spacing w:lineRule="auto" w:line="276" w:before="6" w:after="6"/>
        <w:jc w:val="both"/>
        <w:rPr/>
      </w:pPr>
      <w:r>
        <w:rPr>
          <w:rFonts w:cs="Arial" w:ascii="Cambria" w:hAnsi="Cambria"/>
          <w:sz w:val="22"/>
          <w:szCs w:val="22"/>
        </w:rPr>
        <w:t>wskazania stawki podatku od towarów i usług, która zgodnie z wiedzą wykonawcy, będzie miała zastosowanie.</w:t>
      </w:r>
    </w:p>
    <w:p>
      <w:pPr>
        <w:pStyle w:val="Normal"/>
        <w:numPr>
          <w:ilvl w:val="0"/>
          <w:numId w:val="25"/>
        </w:numPr>
        <w:tabs>
          <w:tab w:val="clear" w:pos="708"/>
          <w:tab w:val="left" w:pos="576" w:leader="none"/>
          <w:tab w:val="left" w:pos="851" w:leader="none"/>
        </w:tabs>
        <w:spacing w:lineRule="auto" w:line="276"/>
        <w:jc w:val="both"/>
        <w:rPr/>
      </w:pPr>
      <w:r>
        <w:rPr>
          <w:rFonts w:cs="Tahoma" w:ascii="Cambria" w:hAnsi="Cambria"/>
          <w:sz w:val="22"/>
          <w:szCs w:val="22"/>
        </w:rPr>
        <w:t xml:space="preserve">Zamawiający nie przewiduje obowiązku odbycia przez Wykonawcę wizji lokalnej terenu objętego robotami budowlanymi. Zamawiający dopuszcza możliwość odbycia wizji lokalnej po wcześniejszym uzgodnieniu terminu z Zamawiającym. </w:t>
      </w:r>
    </w:p>
    <w:p>
      <w:pPr>
        <w:pStyle w:val="Normal"/>
        <w:tabs>
          <w:tab w:val="clear" w:pos="708"/>
          <w:tab w:val="left" w:pos="576" w:leader="none"/>
          <w:tab w:val="left" w:pos="851" w:leader="none"/>
        </w:tabs>
        <w:spacing w:lineRule="auto" w:line="276"/>
        <w:ind w:left="360"/>
        <w:jc w:val="both"/>
        <w:rPr>
          <w:rFonts w:ascii="Cambria" w:hAnsi="Cambria" w:cs="Tahoma"/>
          <w:sz w:val="22"/>
          <w:szCs w:val="22"/>
        </w:rPr>
      </w:pPr>
      <w:r>
        <w:rPr>
          <w:rFonts w:cs="Tahoma" w:ascii="Cambria" w:hAnsi="Cambria"/>
          <w:sz w:val="22"/>
          <w:szCs w:val="22"/>
        </w:rPr>
      </w:r>
    </w:p>
    <w:p>
      <w:pPr>
        <w:pStyle w:val="Normal"/>
        <w:numPr>
          <w:ilvl w:val="0"/>
          <w:numId w:val="1"/>
        </w:numPr>
        <w:tabs>
          <w:tab w:val="clear" w:pos="708"/>
          <w:tab w:val="left" w:pos="464" w:leader="none"/>
        </w:tabs>
        <w:spacing w:lineRule="auto" w:line="276" w:before="120" w:after="120"/>
        <w:jc w:val="both"/>
        <w:rPr/>
      </w:pPr>
      <w:r>
        <w:rPr>
          <w:rFonts w:cs="Arial" w:ascii="Cambria" w:hAnsi="Cambria"/>
          <w:b/>
          <w:sz w:val="22"/>
          <w:szCs w:val="22"/>
        </w:rPr>
        <w:t xml:space="preserve">WADIUM </w:t>
      </w:r>
    </w:p>
    <w:p>
      <w:pPr>
        <w:pStyle w:val="ListParagraph"/>
        <w:numPr>
          <w:ilvl w:val="0"/>
          <w:numId w:val="27"/>
        </w:numPr>
        <w:spacing w:lineRule="auto" w:line="276"/>
        <w:jc w:val="both"/>
        <w:rPr/>
      </w:pPr>
      <w:r>
        <w:rPr>
          <w:rFonts w:cs="Calibri" w:ascii="Cambria" w:hAnsi="Cambria"/>
          <w:sz w:val="22"/>
          <w:szCs w:val="22"/>
        </w:rPr>
        <w:t>Każda oferta, musi być zabezpieczona wadium w wysokości:</w:t>
      </w:r>
      <w:r>
        <w:rPr>
          <w:rFonts w:cs="Calibri" w:ascii="Cambria" w:hAnsi="Cambria"/>
          <w:b/>
          <w:bCs/>
          <w:sz w:val="22"/>
          <w:szCs w:val="22"/>
        </w:rPr>
        <w:t xml:space="preserve"> 10 000,00 PLN</w:t>
      </w:r>
      <w:r>
        <w:rPr>
          <w:rFonts w:cs="Calibri" w:ascii="Cambria" w:hAnsi="Cambria"/>
          <w:sz w:val="22"/>
          <w:szCs w:val="22"/>
        </w:rPr>
        <w:t xml:space="preserve"> (słownie: dziesięć tysięcy złotych 00/100).</w:t>
      </w:r>
    </w:p>
    <w:p>
      <w:pPr>
        <w:pStyle w:val="ListParagraph"/>
        <w:numPr>
          <w:ilvl w:val="0"/>
          <w:numId w:val="27"/>
        </w:numPr>
        <w:spacing w:lineRule="auto" w:line="276"/>
        <w:jc w:val="both"/>
        <w:rPr/>
      </w:pPr>
      <w:r>
        <w:rPr>
          <w:rFonts w:cs="Calibri" w:ascii="Cambria" w:hAnsi="Cambria"/>
          <w:sz w:val="22"/>
          <w:szCs w:val="22"/>
        </w:rPr>
        <w:t>Za datę wniesienia wadium w pieniądzu uważa się datę uznania na rachunku Zamawiającego.</w:t>
      </w:r>
    </w:p>
    <w:p>
      <w:pPr>
        <w:pStyle w:val="ListParagraph"/>
        <w:numPr>
          <w:ilvl w:val="0"/>
          <w:numId w:val="27"/>
        </w:numPr>
        <w:spacing w:lineRule="auto" w:line="276"/>
        <w:jc w:val="both"/>
        <w:rPr/>
      </w:pPr>
      <w:r>
        <w:rPr>
          <w:rFonts w:cs="Calibri" w:ascii="Cambria" w:hAnsi="Cambria"/>
          <w:sz w:val="22"/>
          <w:szCs w:val="22"/>
        </w:rPr>
        <w:t>Wadium należy wnieść przed upływem terminu składania ofert.</w:t>
      </w:r>
    </w:p>
    <w:p>
      <w:pPr>
        <w:pStyle w:val="ListParagraph"/>
        <w:numPr>
          <w:ilvl w:val="0"/>
          <w:numId w:val="27"/>
        </w:numPr>
        <w:spacing w:lineRule="auto" w:line="276"/>
        <w:jc w:val="both"/>
        <w:rPr/>
      </w:pPr>
      <w:bookmarkStart w:id="7" w:name="Bookmark2"/>
      <w:r>
        <w:rPr>
          <w:rFonts w:cs="Calibri" w:ascii="Cambria" w:hAnsi="Cambria"/>
          <w:sz w:val="22"/>
          <w:szCs w:val="22"/>
        </w:rPr>
        <w:t>Wadium może być wniesione w jednej lub kilku następujących formach:</w:t>
      </w:r>
      <w:bookmarkEnd w:id="7"/>
    </w:p>
    <w:p>
      <w:pPr>
        <w:pStyle w:val="ListParagraph"/>
        <w:numPr>
          <w:ilvl w:val="1"/>
          <w:numId w:val="27"/>
        </w:numPr>
        <w:spacing w:lineRule="auto" w:line="276"/>
        <w:jc w:val="both"/>
        <w:rPr/>
      </w:pPr>
      <w:r>
        <w:rPr>
          <w:rFonts w:cs="Calibri" w:ascii="Cambria" w:hAnsi="Cambria"/>
          <w:sz w:val="22"/>
          <w:szCs w:val="22"/>
        </w:rPr>
        <w:t>pieniądzu</w:t>
      </w:r>
      <w:r>
        <w:rPr>
          <w:rStyle w:val="Domylnaczcionkaakapitu1"/>
          <w:rFonts w:cs="Liberation Serif" w:ascii="Cambria" w:hAnsi="Cambria"/>
          <w:bCs/>
          <w:sz w:val="22"/>
          <w:szCs w:val="22"/>
        </w:rPr>
        <w:t>,</w:t>
      </w:r>
    </w:p>
    <w:p>
      <w:pPr>
        <w:pStyle w:val="ListParagraph"/>
        <w:numPr>
          <w:ilvl w:val="1"/>
          <w:numId w:val="27"/>
        </w:numPr>
        <w:spacing w:lineRule="auto" w:line="276"/>
        <w:jc w:val="both"/>
        <w:rPr/>
      </w:pPr>
      <w:r>
        <w:rPr>
          <w:rFonts w:cs="Calibri" w:ascii="Cambria" w:hAnsi="Cambria"/>
          <w:sz w:val="22"/>
          <w:szCs w:val="22"/>
        </w:rPr>
        <w:t>gwarancjach ubezpieczeniowych,</w:t>
      </w:r>
    </w:p>
    <w:p>
      <w:pPr>
        <w:pStyle w:val="ListParagraph"/>
        <w:numPr>
          <w:ilvl w:val="1"/>
          <w:numId w:val="27"/>
        </w:numPr>
        <w:spacing w:lineRule="auto" w:line="276"/>
        <w:jc w:val="both"/>
        <w:rPr/>
      </w:pPr>
      <w:r>
        <w:rPr>
          <w:rFonts w:cs="Calibri" w:ascii="Cambria" w:hAnsi="Cambria"/>
          <w:sz w:val="22"/>
          <w:szCs w:val="22"/>
        </w:rPr>
        <w:t>gwarancjach bankowych,</w:t>
      </w:r>
    </w:p>
    <w:p>
      <w:pPr>
        <w:pStyle w:val="ListParagraph"/>
        <w:numPr>
          <w:ilvl w:val="1"/>
          <w:numId w:val="27"/>
        </w:numPr>
        <w:spacing w:lineRule="auto" w:line="276"/>
        <w:jc w:val="both"/>
        <w:rPr/>
      </w:pPr>
      <w:r>
        <w:rPr>
          <w:rFonts w:cs="Calibri" w:ascii="Cambria" w:hAnsi="Cambria"/>
          <w:sz w:val="22"/>
          <w:szCs w:val="22"/>
        </w:rPr>
        <w:t xml:space="preserve">poręczeniach </w:t>
      </w:r>
      <w:r>
        <w:rPr>
          <w:rFonts w:cs="Arial" w:ascii="Cambria" w:hAnsi="Cambria"/>
          <w:sz w:val="22"/>
          <w:szCs w:val="22"/>
        </w:rPr>
        <w:t>udzielanych przez podmioty, o których mowa w art. 6b ust. 5 pkt. 2 ustawy z dnia 9 listopada 2000 r. o utworzeniu Polskiej Agencji Rozwoju Przedsiębiorczości ;</w:t>
      </w:r>
    </w:p>
    <w:p>
      <w:pPr>
        <w:pStyle w:val="ListParagraph"/>
        <w:numPr>
          <w:ilvl w:val="0"/>
          <w:numId w:val="27"/>
        </w:numPr>
        <w:spacing w:lineRule="auto" w:line="276"/>
        <w:jc w:val="both"/>
        <w:rPr/>
      </w:pPr>
      <w:r>
        <w:rPr>
          <w:rFonts w:cs="Arial" w:ascii="Cambria" w:hAnsi="Cambria"/>
          <w:sz w:val="22"/>
          <w:szCs w:val="22"/>
        </w:rPr>
        <w:t>Wadium wnoszone w pieniądzu wpłaca się przelewem, na konto Zamawiającego:</w:t>
      </w:r>
      <w:r>
        <w:rPr>
          <w:rStyle w:val="Domylnaczcionkaakapitu1"/>
          <w:rFonts w:cs="Arial" w:ascii="Cambria" w:hAnsi="Cambria"/>
          <w:bCs/>
          <w:sz w:val="22"/>
          <w:szCs w:val="22"/>
        </w:rPr>
        <w:t xml:space="preserve"> 26 1020 2892 0000 5102 0897 5445, </w:t>
      </w:r>
      <w:r>
        <w:rPr>
          <w:rFonts w:cs="Calibri" w:ascii="Cambria" w:hAnsi="Cambria"/>
          <w:sz w:val="22"/>
          <w:szCs w:val="22"/>
        </w:rPr>
        <w:t>wskazując jako tytuł: „</w:t>
      </w:r>
      <w:r>
        <w:rPr>
          <w:rFonts w:cs="Calibri" w:ascii="Cambria" w:hAnsi="Cambria"/>
          <w:b/>
          <w:bCs/>
          <w:i/>
          <w:sz w:val="22"/>
          <w:szCs w:val="22"/>
        </w:rPr>
        <w:t xml:space="preserve">Wadium </w:t>
      </w:r>
      <w:r>
        <w:rPr>
          <w:rFonts w:ascii="Cambria" w:hAnsi="Cambria"/>
          <w:b/>
          <w:bCs/>
          <w:i/>
          <w:iCs/>
          <w:sz w:val="22"/>
          <w:szCs w:val="22"/>
        </w:rPr>
        <w:t>RI.271.I.4.2026.RK</w:t>
      </w:r>
      <w:r>
        <w:rPr>
          <w:rFonts w:cs="Calibri" w:ascii="Cambria" w:hAnsi="Cambria"/>
          <w:sz w:val="22"/>
          <w:szCs w:val="22"/>
        </w:rPr>
        <w:t>”</w:t>
      </w:r>
    </w:p>
    <w:p>
      <w:pPr>
        <w:pStyle w:val="ListParagraph"/>
        <w:numPr>
          <w:ilvl w:val="0"/>
          <w:numId w:val="27"/>
        </w:numPr>
        <w:spacing w:lineRule="auto" w:line="276"/>
        <w:jc w:val="both"/>
        <w:rPr/>
      </w:pPr>
      <w:r>
        <w:rPr>
          <w:rFonts w:cs="Arial" w:ascii="Cambria" w:hAnsi="Cambria"/>
          <w:sz w:val="22"/>
          <w:szCs w:val="22"/>
        </w:rPr>
        <w:t>Jeżeli wadium jest wnoszone w formie gwarancji lub poręczenia, o których mowa w ust. 3 pkt c-d, wykonawca przekazuje zamawiającemu oryginał gwarancji lub poręczenia, w postaci elektronicznej.</w:t>
      </w:r>
    </w:p>
    <w:p>
      <w:pPr>
        <w:pStyle w:val="ListParagraph"/>
        <w:numPr>
          <w:ilvl w:val="0"/>
          <w:numId w:val="27"/>
        </w:numPr>
        <w:spacing w:lineRule="auto" w:line="276"/>
        <w:jc w:val="both"/>
        <w:rPr/>
      </w:pPr>
      <w:r>
        <w:rPr>
          <w:rFonts w:cs="Arial" w:ascii="Cambria" w:hAnsi="Cambria"/>
          <w:sz w:val="22"/>
          <w:szCs w:val="22"/>
        </w:rPr>
        <w:t>Zamawiający zwraca wadium niezwłocznie, nie później jednak niż w terminie 7 dni od dnia wystąpienia jednej z okoliczności:</w:t>
      </w:r>
    </w:p>
    <w:p>
      <w:pPr>
        <w:pStyle w:val="ListParagraph"/>
        <w:numPr>
          <w:ilvl w:val="1"/>
          <w:numId w:val="27"/>
        </w:numPr>
        <w:spacing w:lineRule="auto" w:line="276"/>
        <w:jc w:val="both"/>
        <w:rPr/>
      </w:pPr>
      <w:r>
        <w:rPr>
          <w:rFonts w:cs="Arial" w:ascii="Cambria" w:hAnsi="Cambria"/>
          <w:sz w:val="22"/>
          <w:szCs w:val="22"/>
        </w:rPr>
        <w:t>upływu terminu związania ofertą;</w:t>
      </w:r>
    </w:p>
    <w:p>
      <w:pPr>
        <w:pStyle w:val="ListParagraph"/>
        <w:numPr>
          <w:ilvl w:val="1"/>
          <w:numId w:val="27"/>
        </w:numPr>
        <w:spacing w:lineRule="auto" w:line="276"/>
        <w:jc w:val="both"/>
        <w:rPr/>
      </w:pPr>
      <w:r>
        <w:rPr>
          <w:rFonts w:cs="Arial" w:ascii="Cambria" w:hAnsi="Cambria"/>
          <w:sz w:val="22"/>
          <w:szCs w:val="22"/>
        </w:rPr>
        <w:t>zawarcia umowy w sprawie zamówienia publicznego;</w:t>
      </w:r>
    </w:p>
    <w:p>
      <w:pPr>
        <w:pStyle w:val="ListParagraph"/>
        <w:numPr>
          <w:ilvl w:val="1"/>
          <w:numId w:val="27"/>
        </w:numPr>
        <w:spacing w:lineRule="auto" w:line="276"/>
        <w:jc w:val="both"/>
        <w:rPr/>
      </w:pPr>
      <w:r>
        <w:rPr>
          <w:rFonts w:cs="Arial" w:ascii="Cambria" w:hAnsi="Cambria"/>
          <w:sz w:val="22"/>
          <w:szCs w:val="22"/>
        </w:rPr>
        <w:t>unieważnienia postępowania o udzielenie zamówienia, z wyjątkiem sytuacji gdy nie zostało rozstrzygnięte odwołanie na czynność unieważnienia albo nie upłynął termin do jego wniesienia.</w:t>
      </w:r>
    </w:p>
    <w:p>
      <w:pPr>
        <w:pStyle w:val="ListParagraph"/>
        <w:numPr>
          <w:ilvl w:val="0"/>
          <w:numId w:val="27"/>
        </w:numPr>
        <w:spacing w:lineRule="auto" w:line="276"/>
        <w:jc w:val="both"/>
        <w:rPr/>
      </w:pPr>
      <w:r>
        <w:rPr>
          <w:rFonts w:cs="Arial" w:ascii="Cambria" w:hAnsi="Cambria"/>
          <w:sz w:val="22"/>
          <w:szCs w:val="22"/>
        </w:rPr>
        <w:t>Zamawiający, niezwłocznie, nie później jednak niż w terminie 7 dni od dnia złożenia wniosku zwraca wadium wykonawcy:</w:t>
      </w:r>
    </w:p>
    <w:p>
      <w:pPr>
        <w:pStyle w:val="ListParagraph"/>
        <w:numPr>
          <w:ilvl w:val="1"/>
          <w:numId w:val="27"/>
        </w:numPr>
        <w:spacing w:lineRule="auto" w:line="276"/>
        <w:jc w:val="both"/>
        <w:rPr/>
      </w:pPr>
      <w:r>
        <w:rPr>
          <w:rFonts w:cs="Arial" w:ascii="Cambria" w:hAnsi="Cambria"/>
          <w:sz w:val="22"/>
          <w:szCs w:val="22"/>
        </w:rPr>
        <w:t>który wycofał ofertę przed upływem terminu składania ofert;</w:t>
      </w:r>
    </w:p>
    <w:p>
      <w:pPr>
        <w:pStyle w:val="ListParagraph"/>
        <w:numPr>
          <w:ilvl w:val="1"/>
          <w:numId w:val="27"/>
        </w:numPr>
        <w:spacing w:lineRule="auto" w:line="276"/>
        <w:jc w:val="both"/>
        <w:rPr/>
      </w:pPr>
      <w:r>
        <w:rPr>
          <w:rFonts w:cs="Arial" w:ascii="Cambria" w:hAnsi="Cambria"/>
          <w:sz w:val="22"/>
          <w:szCs w:val="22"/>
        </w:rPr>
        <w:t>którego oferta została odrzucona;</w:t>
      </w:r>
    </w:p>
    <w:p>
      <w:pPr>
        <w:pStyle w:val="ListParagraph"/>
        <w:numPr>
          <w:ilvl w:val="1"/>
          <w:numId w:val="27"/>
        </w:numPr>
        <w:spacing w:lineRule="auto" w:line="276"/>
        <w:jc w:val="both"/>
        <w:rPr/>
      </w:pPr>
      <w:r>
        <w:rPr>
          <w:rFonts w:cs="Arial" w:ascii="Cambria" w:hAnsi="Cambria"/>
          <w:sz w:val="22"/>
          <w:szCs w:val="22"/>
        </w:rPr>
        <w:t>po wyborze najkorzystniejszej oferty, z wyjątkiem wykonawcy, którego oferta została wybrana jako najkorzystniejsza;</w:t>
      </w:r>
    </w:p>
    <w:p>
      <w:pPr>
        <w:pStyle w:val="ListParagraph"/>
        <w:numPr>
          <w:ilvl w:val="1"/>
          <w:numId w:val="27"/>
        </w:numPr>
        <w:spacing w:lineRule="auto" w:line="276"/>
        <w:jc w:val="both"/>
        <w:rPr/>
      </w:pPr>
      <w:r>
        <w:rPr>
          <w:rFonts w:cs="Arial" w:ascii="Cambria" w:hAnsi="Cambria"/>
          <w:sz w:val="22"/>
          <w:szCs w:val="22"/>
        </w:rPr>
        <w:t>po unieważnieniu postępowania, w przypadku gdy nie zostało rozstrzygnięte odwołanie na czynność unieważnienia albo nie upłynął termin do jego wniesienia.</w:t>
      </w:r>
    </w:p>
    <w:p>
      <w:pPr>
        <w:pStyle w:val="ListParagraph"/>
        <w:numPr>
          <w:ilvl w:val="0"/>
          <w:numId w:val="27"/>
        </w:numPr>
        <w:spacing w:lineRule="auto" w:line="276"/>
        <w:jc w:val="both"/>
        <w:rPr/>
      </w:pPr>
      <w:r>
        <w:rPr>
          <w:rFonts w:cs="Arial" w:ascii="Cambria" w:hAnsi="Cambria"/>
          <w:sz w:val="22"/>
          <w:szCs w:val="22"/>
        </w:rPr>
        <w:t>Złożenie wniosku o zwrot wadium, o którym mowa w ust. 8, powoduje rozwiązanie stosunku prawnego z wykonawcą wraz z utratą przez niego prawa do korzystania ze środków ochrony prawnej, o których mowa w dziale IX p.z.p.</w:t>
      </w:r>
    </w:p>
    <w:p>
      <w:pPr>
        <w:pStyle w:val="ListParagraph"/>
        <w:numPr>
          <w:ilvl w:val="0"/>
          <w:numId w:val="27"/>
        </w:numPr>
        <w:spacing w:lineRule="auto" w:line="276"/>
        <w:jc w:val="both"/>
        <w:rPr/>
      </w:pPr>
      <w:r>
        <w:rPr>
          <w:rFonts w:cs="Arial" w:ascii="Cambria" w:hAnsi="Cambria"/>
          <w:sz w:val="22"/>
          <w:szCs w:val="22"/>
        </w:rPr>
        <w:t>Zamawiający zwraca wadium wniesione w pieniądzu wraz z odsetkami wynikającymi z umowy rachunku bankowego, na którym było ono przechowywane, pomniejszone o koszty prowadzenia rachunku bankowego oraz prowizji bankowej za przelew pieniędzy na rachunek bankowy wskazany przez wykonawcę.</w:t>
      </w:r>
    </w:p>
    <w:p>
      <w:pPr>
        <w:pStyle w:val="ListParagraph"/>
        <w:numPr>
          <w:ilvl w:val="0"/>
          <w:numId w:val="27"/>
        </w:numPr>
        <w:spacing w:lineRule="auto" w:line="276"/>
        <w:jc w:val="both"/>
        <w:rPr/>
      </w:pPr>
      <w:r>
        <w:rPr>
          <w:rFonts w:cs="Arial" w:ascii="Cambria" w:hAnsi="Cambria"/>
          <w:sz w:val="22"/>
          <w:szCs w:val="22"/>
        </w:rPr>
        <w:t>Zamawiający zwraca wadium wniesione w innej formie niż w pieniądzu poprzez złożenie gwarantowi lub poręczycielowi oświadczenia o zwolnieniu wadium.</w:t>
      </w:r>
    </w:p>
    <w:p>
      <w:pPr>
        <w:pStyle w:val="ListParagraph"/>
        <w:numPr>
          <w:ilvl w:val="0"/>
          <w:numId w:val="27"/>
        </w:numPr>
        <w:spacing w:lineRule="auto" w:line="276"/>
        <w:jc w:val="both"/>
        <w:rPr/>
      </w:pPr>
      <w:r>
        <w:rPr>
          <w:rFonts w:cs="Arial" w:ascii="Cambria" w:hAnsi="Cambria"/>
          <w:sz w:val="22"/>
          <w:szCs w:val="22"/>
        </w:rPr>
        <w:t>Zamawiający zatrzymuje wadium wraz z odsetkami, a w przypadku wadium wniesionego w formie gwarancji lub poręczenia, o których mowa w art. 97 ust. 7 pkt 2-4 p.z.p., występuje odpowiednio do gwaranta lub poręczyciela z żądaniem zapłaty wadium, jeżeli:</w:t>
      </w:r>
    </w:p>
    <w:p>
      <w:pPr>
        <w:pStyle w:val="ListParagraph"/>
        <w:numPr>
          <w:ilvl w:val="1"/>
          <w:numId w:val="27"/>
        </w:numPr>
        <w:spacing w:lineRule="auto" w:line="276"/>
        <w:jc w:val="both"/>
        <w:rPr/>
      </w:pPr>
      <w:r>
        <w:rPr>
          <w:rFonts w:cs="Arial" w:ascii="Cambria" w:hAnsi="Cambria"/>
          <w:sz w:val="22"/>
          <w:szCs w:val="22"/>
        </w:rPr>
        <w:t>wykonawca w odpowiedzi na wezwanie, o którym mowa w art. 107 ust. 2 p.z.p. lub art. 128 ust. 1 p.z.p., z przyczyn leżących po jego stronie, nie złożył podmiotowych środków dowodowych lub przedmiotowych środków dowodowych potwierdzających okoliczności, o których mowa w art. 57 p.z.p. lub art. 106 ust. 1 p.z.p., oświadczenia, o którym mowa w art. 125 ust. 1 p.z.p., innych dokumentów lub oświadczeń lub nie wyraził zgody na poprawienie omyłki, o której mowa w art. 223 ust. 2 pkt 3 p.z.p., co spowodowało brak możliwości wybrania oferty złożonej przez wykonawcę jako najkorzystniejszej;</w:t>
      </w:r>
    </w:p>
    <w:p>
      <w:pPr>
        <w:pStyle w:val="ListParagraph"/>
        <w:numPr>
          <w:ilvl w:val="1"/>
          <w:numId w:val="27"/>
        </w:numPr>
        <w:spacing w:lineRule="auto" w:line="276"/>
        <w:jc w:val="both"/>
        <w:rPr/>
      </w:pPr>
      <w:r>
        <w:rPr>
          <w:rFonts w:cs="Arial" w:ascii="Cambria" w:hAnsi="Cambria"/>
          <w:sz w:val="22"/>
          <w:szCs w:val="22"/>
        </w:rPr>
        <w:t>wykonawca, którego oferta została wybrana:</w:t>
      </w:r>
    </w:p>
    <w:p>
      <w:pPr>
        <w:pStyle w:val="ListParagraph"/>
        <w:spacing w:lineRule="auto" w:line="276"/>
        <w:ind w:left="1077"/>
        <w:jc w:val="both"/>
        <w:rPr/>
      </w:pPr>
      <w:r>
        <w:rPr>
          <w:rFonts w:cs="Arial" w:ascii="Cambria" w:hAnsi="Cambria"/>
          <w:sz w:val="22"/>
          <w:szCs w:val="22"/>
        </w:rPr>
        <w:t>- odmówił podpisania umowy w sprawie zamówienia publicznego na warunkach określonych w ofercie,</w:t>
      </w:r>
    </w:p>
    <w:p>
      <w:pPr>
        <w:pStyle w:val="ListParagraph"/>
        <w:spacing w:lineRule="auto" w:line="276"/>
        <w:ind w:left="1077"/>
        <w:jc w:val="both"/>
        <w:rPr/>
      </w:pPr>
      <w:r>
        <w:rPr>
          <w:rFonts w:cs="Arial" w:ascii="Cambria" w:hAnsi="Cambria"/>
          <w:sz w:val="22"/>
          <w:szCs w:val="22"/>
        </w:rPr>
        <w:t>- nie wniósł wymaganego zabezpieczenia należytego wykonania umowy;</w:t>
      </w:r>
    </w:p>
    <w:p>
      <w:pPr>
        <w:pStyle w:val="ListParagraph"/>
        <w:numPr>
          <w:ilvl w:val="1"/>
          <w:numId w:val="27"/>
        </w:numPr>
        <w:spacing w:lineRule="auto" w:line="276"/>
        <w:jc w:val="both"/>
        <w:rPr/>
      </w:pPr>
      <w:r>
        <w:rPr>
          <w:rFonts w:cs="Arial" w:ascii="Cambria" w:hAnsi="Cambria"/>
          <w:sz w:val="22"/>
          <w:szCs w:val="22"/>
        </w:rPr>
        <w:t>zawarcie umowy w sprawie zamówienia publicznego stało się niemożliwe z przyczyn leżących po stronie wykonawcy, którego oferta została wybrana.</w:t>
      </w:r>
    </w:p>
    <w:p>
      <w:pPr>
        <w:pStyle w:val="Normal"/>
        <w:suppressAutoHyphens w:val="false"/>
        <w:spacing w:lineRule="auto" w:line="276"/>
        <w:rPr>
          <w:rFonts w:ascii="Cambria" w:hAnsi="Cambria" w:cs="Arial"/>
          <w:sz w:val="22"/>
          <w:szCs w:val="22"/>
        </w:rPr>
      </w:pPr>
      <w:r>
        <w:rPr>
          <w:rFonts w:cs="Arial" w:ascii="Cambria" w:hAnsi="Cambria"/>
          <w:sz w:val="22"/>
          <w:szCs w:val="22"/>
        </w:rPr>
      </w:r>
    </w:p>
    <w:p>
      <w:pPr>
        <w:pStyle w:val="Normal"/>
        <w:numPr>
          <w:ilvl w:val="0"/>
          <w:numId w:val="1"/>
        </w:numPr>
        <w:tabs>
          <w:tab w:val="clear" w:pos="708"/>
          <w:tab w:val="left" w:pos="464" w:leader="none"/>
        </w:tabs>
        <w:spacing w:lineRule="auto" w:line="276" w:before="120" w:after="120"/>
        <w:jc w:val="both"/>
        <w:rPr/>
      </w:pPr>
      <w:r>
        <w:rPr>
          <w:rFonts w:cs="Arial" w:ascii="Cambria" w:hAnsi="Cambria"/>
          <w:b/>
          <w:sz w:val="22"/>
          <w:szCs w:val="22"/>
        </w:rPr>
        <w:t>ZABEZPIECZENIE NALEŻYTEGO WYKONANIA UMOWY</w:t>
      </w:r>
    </w:p>
    <w:p>
      <w:pPr>
        <w:pStyle w:val="Normal"/>
        <w:numPr>
          <w:ilvl w:val="0"/>
          <w:numId w:val="16"/>
        </w:numPr>
        <w:tabs>
          <w:tab w:val="clear" w:pos="708"/>
          <w:tab w:val="left" w:pos="851" w:leader="none"/>
        </w:tabs>
        <w:spacing w:lineRule="auto" w:line="276" w:before="120" w:after="0"/>
        <w:jc w:val="both"/>
        <w:rPr/>
      </w:pPr>
      <w:r>
        <w:rPr>
          <w:rStyle w:val="FontStyle105"/>
          <w:rFonts w:ascii="Cambria" w:hAnsi="Cambria"/>
          <w:b w:val="false"/>
          <w:sz w:val="22"/>
          <w:szCs w:val="22"/>
        </w:rPr>
        <w:t xml:space="preserve">Wykonawca, przed podpisaniem umowy wnosi zabezpieczenie należytego wykonania umowy w wysokości: </w:t>
      </w:r>
      <w:r>
        <w:rPr>
          <w:rStyle w:val="FontStyle105"/>
          <w:rFonts w:ascii="Cambria" w:hAnsi="Cambria"/>
          <w:b w:val="false"/>
          <w:color w:themeColor="text1" w:val="000000"/>
          <w:sz w:val="22"/>
          <w:szCs w:val="22"/>
        </w:rPr>
        <w:t>(5 % ceny ofertowej brutto).</w:t>
      </w:r>
    </w:p>
    <w:p>
      <w:pPr>
        <w:pStyle w:val="Normal"/>
        <w:numPr>
          <w:ilvl w:val="0"/>
          <w:numId w:val="16"/>
        </w:numPr>
        <w:tabs>
          <w:tab w:val="clear" w:pos="708"/>
          <w:tab w:val="left" w:pos="851" w:leader="none"/>
        </w:tabs>
        <w:spacing w:lineRule="auto" w:line="276" w:before="120" w:after="0"/>
        <w:jc w:val="both"/>
        <w:rPr/>
      </w:pPr>
      <w:r>
        <w:rPr>
          <w:rStyle w:val="FontStyle105"/>
          <w:rFonts w:ascii="Cambria" w:hAnsi="Cambria"/>
          <w:b w:val="false"/>
          <w:sz w:val="22"/>
          <w:szCs w:val="22"/>
        </w:rPr>
        <w:t>Zabezpieczenie może być wnoszone według wyboru wykonawcy w jednej lub w kilku następujących formach:</w:t>
      </w:r>
    </w:p>
    <w:p>
      <w:pPr>
        <w:pStyle w:val="Normal"/>
        <w:numPr>
          <w:ilvl w:val="1"/>
          <w:numId w:val="17"/>
        </w:numPr>
        <w:tabs>
          <w:tab w:val="clear" w:pos="708"/>
          <w:tab w:val="left" w:pos="1134" w:leader="none"/>
          <w:tab w:val="left" w:pos="1356" w:leader="none"/>
        </w:tabs>
        <w:spacing w:lineRule="auto" w:line="276" w:before="120" w:after="0"/>
        <w:ind w:hanging="357" w:left="1134"/>
        <w:jc w:val="both"/>
        <w:rPr/>
      </w:pPr>
      <w:r>
        <w:rPr>
          <w:rFonts w:cs="Arial" w:ascii="Cambria" w:hAnsi="Cambria"/>
          <w:bCs/>
          <w:sz w:val="22"/>
          <w:szCs w:val="22"/>
        </w:rPr>
        <w:t>pieniądzu przelewem, na konto Zamawiającego: (za datę wniesienia należytego wykonania umowy w pieniądzu uważa się datę uznania na rachunku Zamawiającego);</w:t>
      </w:r>
    </w:p>
    <w:p>
      <w:pPr>
        <w:pStyle w:val="Normal"/>
        <w:numPr>
          <w:ilvl w:val="1"/>
          <w:numId w:val="17"/>
        </w:numPr>
        <w:tabs>
          <w:tab w:val="clear" w:pos="708"/>
          <w:tab w:val="left" w:pos="1134" w:leader="none"/>
          <w:tab w:val="left" w:pos="1356" w:leader="none"/>
        </w:tabs>
        <w:spacing w:lineRule="auto" w:line="276" w:before="120" w:after="0"/>
        <w:ind w:hanging="357" w:left="1134"/>
        <w:jc w:val="both"/>
        <w:rPr/>
      </w:pPr>
      <w:r>
        <w:rPr>
          <w:rFonts w:ascii="Cambria" w:hAnsi="Cambria"/>
          <w:color w:themeColor="text1" w:val="000000"/>
          <w:sz w:val="22"/>
          <w:szCs w:val="22"/>
          <w:shd w:fill="FFFFFF" w:val="clear"/>
        </w:rPr>
        <w:t>poręczeniach bankowych lub poręczeniach spółdzielczej kasy oszczędnościowo-kredytowej, z tym że zobowiązanie kasy jest zawsze zobowiązaniem pieniężnym;</w:t>
      </w:r>
    </w:p>
    <w:p>
      <w:pPr>
        <w:pStyle w:val="Normal"/>
        <w:numPr>
          <w:ilvl w:val="1"/>
          <w:numId w:val="17"/>
        </w:numPr>
        <w:tabs>
          <w:tab w:val="clear" w:pos="708"/>
          <w:tab w:val="left" w:pos="1134" w:leader="none"/>
          <w:tab w:val="left" w:pos="1356" w:leader="none"/>
        </w:tabs>
        <w:spacing w:lineRule="auto" w:line="276" w:before="120" w:after="0"/>
        <w:ind w:hanging="357" w:left="1134"/>
        <w:jc w:val="both"/>
        <w:rPr/>
      </w:pPr>
      <w:r>
        <w:rPr>
          <w:rFonts w:cs="Arial" w:ascii="Cambria" w:hAnsi="Cambria"/>
          <w:bCs/>
          <w:color w:themeColor="text1" w:val="000000"/>
          <w:sz w:val="22"/>
          <w:szCs w:val="22"/>
        </w:rPr>
        <w:t>gwarancjach ubezpieczeniowych;</w:t>
      </w:r>
    </w:p>
    <w:p>
      <w:pPr>
        <w:pStyle w:val="Normal"/>
        <w:numPr>
          <w:ilvl w:val="1"/>
          <w:numId w:val="17"/>
        </w:numPr>
        <w:tabs>
          <w:tab w:val="clear" w:pos="708"/>
          <w:tab w:val="left" w:pos="1134" w:leader="none"/>
          <w:tab w:val="left" w:pos="1356" w:leader="none"/>
        </w:tabs>
        <w:spacing w:lineRule="auto" w:line="276" w:before="120" w:after="0"/>
        <w:ind w:hanging="357" w:left="1134"/>
        <w:jc w:val="both"/>
        <w:rPr/>
      </w:pPr>
      <w:r>
        <w:rPr>
          <w:rFonts w:cs="Arial" w:ascii="Cambria" w:hAnsi="Cambria"/>
          <w:bCs/>
          <w:sz w:val="22"/>
          <w:szCs w:val="22"/>
        </w:rPr>
        <w:t>gwarancjach bankowych;</w:t>
      </w:r>
    </w:p>
    <w:p>
      <w:pPr>
        <w:pStyle w:val="Normal"/>
        <w:numPr>
          <w:ilvl w:val="1"/>
          <w:numId w:val="17"/>
        </w:numPr>
        <w:tabs>
          <w:tab w:val="clear" w:pos="708"/>
          <w:tab w:val="left" w:pos="1134" w:leader="none"/>
          <w:tab w:val="left" w:pos="1356" w:leader="none"/>
        </w:tabs>
        <w:spacing w:lineRule="auto" w:line="276" w:before="120" w:after="0"/>
        <w:ind w:hanging="357" w:left="1134"/>
        <w:jc w:val="both"/>
        <w:rPr/>
      </w:pPr>
      <w:r>
        <w:rPr>
          <w:rFonts w:cs="Arial" w:ascii="Cambria" w:hAnsi="Cambria"/>
          <w:bCs/>
          <w:sz w:val="22"/>
          <w:szCs w:val="22"/>
        </w:rPr>
        <w:t>poręczeniach udzielanych przez podmioty, o których mowa w art. 6b ust. 5 pkt. 2 ustawy z dnia 9 listopada 2000 r. o utworzeniu Polskiej Agencji Rozwoju Przedsiębiorczości.</w:t>
      </w:r>
    </w:p>
    <w:p>
      <w:pPr>
        <w:pStyle w:val="Normal"/>
        <w:numPr>
          <w:ilvl w:val="0"/>
          <w:numId w:val="16"/>
        </w:numPr>
        <w:tabs>
          <w:tab w:val="clear" w:pos="708"/>
          <w:tab w:val="left" w:pos="851" w:leader="none"/>
        </w:tabs>
        <w:spacing w:lineRule="auto" w:line="276" w:before="120" w:after="0"/>
        <w:jc w:val="both"/>
        <w:rPr/>
      </w:pPr>
      <w:r>
        <w:rPr>
          <w:rStyle w:val="FontStyle105"/>
          <w:rFonts w:ascii="Cambria" w:hAnsi="Cambria"/>
          <w:b w:val="false"/>
          <w:iCs/>
          <w:sz w:val="22"/>
          <w:szCs w:val="22"/>
        </w:rPr>
        <w:t>Zabezpieczenie wnoszone w pieniądzu wykonawca wpłaca przelewem na rachunek bankowy</w:t>
      </w:r>
      <w:r>
        <w:rPr>
          <w:rStyle w:val="FontStyle105"/>
          <w:rFonts w:ascii="Cambria" w:hAnsi="Cambria"/>
          <w:b w:val="false"/>
          <w:bCs w:val="false"/>
          <w:iCs/>
          <w:sz w:val="22"/>
          <w:szCs w:val="22"/>
        </w:rPr>
        <w:t xml:space="preserve"> 26 1020 2892 0000 5102 0897 5445 Banku PKO BP S.A</w:t>
      </w:r>
    </w:p>
    <w:p>
      <w:pPr>
        <w:pStyle w:val="Normal"/>
        <w:numPr>
          <w:ilvl w:val="0"/>
          <w:numId w:val="16"/>
        </w:numPr>
        <w:tabs>
          <w:tab w:val="clear" w:pos="708"/>
          <w:tab w:val="left" w:pos="851" w:leader="none"/>
        </w:tabs>
        <w:spacing w:lineRule="auto" w:line="276" w:before="120" w:after="0"/>
        <w:jc w:val="both"/>
        <w:rPr/>
      </w:pPr>
      <w:r>
        <w:rPr>
          <w:rFonts w:cs="Arial" w:ascii="Cambria" w:hAnsi="Cambria"/>
          <w:sz w:val="22"/>
          <w:szCs w:val="22"/>
          <w:shd w:fill="FFFFFF" w:val="clear"/>
        </w:rPr>
        <w:t>Jeżeli zabezpieczenie wniesiono w pieniądzu, zamawiający przechowuje je na oprocentowanym rachunku bankowym. Zamawiający zwraca zabezpieczenie wniesione w pieniądzu z odsetkami wynikającymi z umowy rachunku bankowego, na którym było ono przechowywane, pomniejszone o koszt prowadzenia tego rachunku oraz prowizji bankowej za przelew pieniędzy na rachunek bankowy wykonawcy.</w:t>
      </w:r>
    </w:p>
    <w:p>
      <w:pPr>
        <w:pStyle w:val="Normal"/>
        <w:numPr>
          <w:ilvl w:val="0"/>
          <w:numId w:val="16"/>
        </w:numPr>
        <w:tabs>
          <w:tab w:val="clear" w:pos="708"/>
          <w:tab w:val="left" w:pos="851" w:leader="none"/>
        </w:tabs>
        <w:spacing w:lineRule="auto" w:line="276" w:before="120" w:after="0"/>
        <w:jc w:val="both"/>
        <w:rPr/>
      </w:pPr>
      <w:r>
        <w:rPr>
          <w:rFonts w:cs="Arial" w:ascii="Cambria" w:hAnsi="Cambria"/>
          <w:sz w:val="22"/>
          <w:szCs w:val="22"/>
        </w:rPr>
        <w:t>Zasady zwrotu zabezpieczenia określa wzór umowy w sprawie zamówienia publicznego.</w:t>
      </w:r>
    </w:p>
    <w:p>
      <w:pPr>
        <w:pStyle w:val="Normal"/>
        <w:spacing w:lineRule="auto" w:line="276"/>
        <w:rPr>
          <w:rFonts w:ascii="Cambria" w:hAnsi="Cambria" w:cs="Arial"/>
          <w:sz w:val="22"/>
          <w:szCs w:val="22"/>
        </w:rPr>
      </w:pPr>
      <w:r>
        <w:rPr>
          <w:rFonts w:cs="Arial" w:ascii="Cambria" w:hAnsi="Cambria"/>
          <w:sz w:val="22"/>
          <w:szCs w:val="22"/>
        </w:rPr>
      </w:r>
    </w:p>
    <w:p>
      <w:pPr>
        <w:pStyle w:val="Normal"/>
        <w:numPr>
          <w:ilvl w:val="0"/>
          <w:numId w:val="1"/>
        </w:numPr>
        <w:tabs>
          <w:tab w:val="clear" w:pos="708"/>
          <w:tab w:val="left" w:pos="464" w:leader="none"/>
        </w:tabs>
        <w:spacing w:lineRule="auto" w:line="276" w:before="120" w:after="120"/>
        <w:jc w:val="both"/>
        <w:rPr/>
      </w:pPr>
      <w:r>
        <w:rPr>
          <w:rFonts w:cs="Arial" w:ascii="Cambria" w:hAnsi="Cambria"/>
          <w:b/>
          <w:sz w:val="22"/>
          <w:szCs w:val="22"/>
        </w:rPr>
        <w:t xml:space="preserve">INFORMACJE ISTOTNE DLA PROWADZONEGO POSTĘPOWANIA </w:t>
      </w:r>
    </w:p>
    <w:p>
      <w:pPr>
        <w:pStyle w:val="Normal"/>
        <w:numPr>
          <w:ilvl w:val="0"/>
          <w:numId w:val="12"/>
        </w:numPr>
        <w:tabs>
          <w:tab w:val="clear" w:pos="708"/>
          <w:tab w:val="left" w:pos="851" w:leader="none"/>
        </w:tabs>
        <w:suppressAutoHyphens w:val="false"/>
        <w:spacing w:lineRule="auto" w:line="276" w:before="120" w:after="120"/>
        <w:jc w:val="both"/>
        <w:rPr/>
      </w:pPr>
      <w:r>
        <w:rPr>
          <w:rFonts w:cs="Arial" w:ascii="Cambria" w:hAnsi="Cambria"/>
          <w:sz w:val="22"/>
          <w:szCs w:val="22"/>
        </w:rPr>
        <w:t>Zamawiający</w:t>
      </w:r>
      <w:r>
        <w:rPr>
          <w:rFonts w:cs="Arial" w:ascii="Cambria" w:hAnsi="Cambria"/>
          <w:bCs/>
          <w:sz w:val="22"/>
          <w:szCs w:val="22"/>
        </w:rPr>
        <w:t xml:space="preserve"> unieważni postępowanie, jeżeli:</w:t>
      </w:r>
    </w:p>
    <w:p>
      <w:pPr>
        <w:pStyle w:val="Akapitzlist1"/>
        <w:numPr>
          <w:ilvl w:val="0"/>
          <w:numId w:val="13"/>
        </w:numPr>
        <w:shd w:val="clear" w:color="auto" w:fill="FFFFFF"/>
        <w:spacing w:lineRule="auto" w:line="276" w:before="120" w:after="120"/>
        <w:contextualSpacing/>
        <w:jc w:val="both"/>
        <w:rPr/>
      </w:pPr>
      <w:r>
        <w:rPr>
          <w:rFonts w:cs="Arial" w:ascii="Cambria" w:hAnsi="Cambria"/>
          <w:color w:val="auto"/>
          <w:sz w:val="22"/>
          <w:szCs w:val="22"/>
        </w:rPr>
        <w:t>nie złożono żadnej oferty;</w:t>
      </w:r>
    </w:p>
    <w:p>
      <w:pPr>
        <w:pStyle w:val="Akapitzlist1"/>
        <w:numPr>
          <w:ilvl w:val="0"/>
          <w:numId w:val="13"/>
        </w:numPr>
        <w:shd w:val="clear" w:color="auto" w:fill="FFFFFF"/>
        <w:spacing w:lineRule="auto" w:line="276" w:before="120" w:after="120"/>
        <w:contextualSpacing/>
        <w:jc w:val="both"/>
        <w:rPr/>
      </w:pPr>
      <w:r>
        <w:rPr>
          <w:rFonts w:cs="Arial" w:ascii="Cambria" w:hAnsi="Cambria"/>
          <w:color w:val="auto"/>
          <w:sz w:val="22"/>
          <w:szCs w:val="22"/>
        </w:rPr>
        <w:t>wszystkie złożone oferty podlegały odrzuceniu;</w:t>
      </w:r>
    </w:p>
    <w:p>
      <w:pPr>
        <w:pStyle w:val="Akapitzlist1"/>
        <w:numPr>
          <w:ilvl w:val="0"/>
          <w:numId w:val="13"/>
        </w:numPr>
        <w:shd w:val="clear" w:color="auto" w:fill="FFFFFF"/>
        <w:spacing w:lineRule="auto" w:line="276" w:before="120" w:after="120"/>
        <w:contextualSpacing/>
        <w:jc w:val="both"/>
        <w:rPr/>
      </w:pPr>
      <w:r>
        <w:rPr>
          <w:rFonts w:cs="Arial" w:ascii="Cambria" w:hAnsi="Cambria"/>
          <w:color w:val="auto"/>
          <w:sz w:val="22"/>
          <w:szCs w:val="22"/>
        </w:rPr>
        <w:t>cena najkorzystniejszej oferty lub oferta z najniższą ceną przewyższa kwotę, którą zamawiający zamierza przeznaczyć na sfinansowanie zamówienia, chyba że zamawiający może zwiększyć tę kwotę do ceny najkorzystniejszej oferty;</w:t>
      </w:r>
    </w:p>
    <w:p>
      <w:pPr>
        <w:pStyle w:val="Akapitzlist1"/>
        <w:numPr>
          <w:ilvl w:val="0"/>
          <w:numId w:val="13"/>
        </w:numPr>
        <w:shd w:val="clear" w:color="auto" w:fill="FFFFFF"/>
        <w:spacing w:lineRule="auto" w:line="276" w:before="120" w:after="120"/>
        <w:contextualSpacing/>
        <w:jc w:val="both"/>
        <w:rPr/>
      </w:pPr>
      <w:r>
        <w:rPr>
          <w:rFonts w:cs="Arial" w:ascii="Cambria" w:hAnsi="Cambria"/>
          <w:color w:val="auto"/>
          <w:sz w:val="22"/>
          <w:szCs w:val="22"/>
        </w:rPr>
        <w:t>w przypadkach, o których mowa w art. 248 ust. 3, art. 249 i art. 250 ust. 2, p.z.p. zostały złożone oferty dodatkowe o takiej samej cenie;</w:t>
      </w:r>
    </w:p>
    <w:p>
      <w:pPr>
        <w:pStyle w:val="Akapitzlist1"/>
        <w:numPr>
          <w:ilvl w:val="0"/>
          <w:numId w:val="13"/>
        </w:numPr>
        <w:shd w:val="clear" w:color="auto" w:fill="FFFFFF"/>
        <w:spacing w:lineRule="auto" w:line="276" w:before="120" w:after="120"/>
        <w:contextualSpacing/>
        <w:jc w:val="both"/>
        <w:rPr/>
      </w:pPr>
      <w:r>
        <w:rPr>
          <w:rFonts w:cs="Arial" w:ascii="Cambria" w:hAnsi="Cambria"/>
          <w:color w:val="auto"/>
          <w:sz w:val="22"/>
          <w:szCs w:val="22"/>
        </w:rPr>
        <w:t>wystąpiła istotna zmiana okoliczności powodująca, że prowadzenie postępowania lub wykonanie zamówienia nie leży w interesie publicznym, czego nie można było wcześniej przewidzieć;</w:t>
      </w:r>
    </w:p>
    <w:p>
      <w:pPr>
        <w:pStyle w:val="Akapitzlist1"/>
        <w:numPr>
          <w:ilvl w:val="0"/>
          <w:numId w:val="13"/>
        </w:numPr>
        <w:shd w:val="clear" w:color="auto" w:fill="FFFFFF"/>
        <w:spacing w:lineRule="auto" w:line="276" w:before="120" w:after="120"/>
        <w:contextualSpacing/>
        <w:jc w:val="both"/>
        <w:rPr/>
      </w:pPr>
      <w:r>
        <w:rPr>
          <w:rFonts w:cs="Arial" w:ascii="Cambria" w:hAnsi="Cambria"/>
          <w:color w:val="auto"/>
          <w:sz w:val="22"/>
          <w:szCs w:val="22"/>
        </w:rPr>
        <w:t>postępowanie obarczone jest niemożliwą do usunięcia wadą uniemożliwiającą zawarcie niepodlegającej unieważnieniu umowy w sprawie zamówienia publicznego;</w:t>
      </w:r>
    </w:p>
    <w:p>
      <w:pPr>
        <w:pStyle w:val="Akapitzlist1"/>
        <w:numPr>
          <w:ilvl w:val="0"/>
          <w:numId w:val="13"/>
        </w:numPr>
        <w:shd w:val="clear" w:color="auto" w:fill="FFFFFF"/>
        <w:spacing w:lineRule="auto" w:line="276" w:before="120" w:after="120"/>
        <w:contextualSpacing/>
        <w:jc w:val="both"/>
        <w:rPr/>
      </w:pPr>
      <w:r>
        <w:rPr>
          <w:rFonts w:cs="Arial" w:ascii="Cambria" w:hAnsi="Cambria"/>
          <w:color w:val="auto"/>
          <w:sz w:val="22"/>
          <w:szCs w:val="22"/>
        </w:rPr>
        <w:t>wykonawca nie wniósł wymaganego zabezpieczenia należytego wykonania umowy lub uchylił się od zawarcia umowy w sprawie zamówienia publicznego, z uwzględnieniem art. 263 p.z.p.</w:t>
      </w:r>
    </w:p>
    <w:p>
      <w:pPr>
        <w:pStyle w:val="Normal"/>
        <w:numPr>
          <w:ilvl w:val="0"/>
          <w:numId w:val="12"/>
        </w:numPr>
        <w:tabs>
          <w:tab w:val="clear" w:pos="708"/>
          <w:tab w:val="left" w:pos="851" w:leader="none"/>
        </w:tabs>
        <w:suppressAutoHyphens w:val="false"/>
        <w:spacing w:lineRule="auto" w:line="276" w:before="120" w:after="120"/>
        <w:jc w:val="both"/>
        <w:rPr/>
      </w:pPr>
      <w:r>
        <w:rPr>
          <w:rFonts w:cs="Arial" w:ascii="Cambria" w:hAnsi="Cambria"/>
          <w:bCs/>
          <w:sz w:val="22"/>
          <w:szCs w:val="22"/>
        </w:rPr>
        <w:t>Zamawiający</w:t>
      </w:r>
      <w:r>
        <w:rPr>
          <w:rFonts w:cs="Arial" w:ascii="Cambria" w:hAnsi="Cambria"/>
          <w:sz w:val="22"/>
          <w:szCs w:val="22"/>
        </w:rPr>
        <w:t xml:space="preserve"> może unieważnić postępowanie przed upływem terminu składania ofert, jeżeli wystąpiły okoliczności powodujące, że dalsze prowadzenie postępowania jest nieuzasadnione.</w:t>
      </w:r>
    </w:p>
    <w:p>
      <w:pPr>
        <w:pStyle w:val="Normal"/>
        <w:numPr>
          <w:ilvl w:val="0"/>
          <w:numId w:val="12"/>
        </w:numPr>
        <w:tabs>
          <w:tab w:val="clear" w:pos="708"/>
          <w:tab w:val="left" w:pos="851" w:leader="none"/>
        </w:tabs>
        <w:suppressAutoHyphens w:val="false"/>
        <w:spacing w:lineRule="auto" w:line="276" w:before="120" w:after="120"/>
        <w:jc w:val="both"/>
        <w:rPr/>
      </w:pPr>
      <w:bookmarkStart w:id="8" w:name="mip59347804"/>
      <w:bookmarkEnd w:id="8"/>
      <w:r>
        <w:rPr>
          <w:rFonts w:cs="Arial" w:ascii="Cambria" w:hAnsi="Cambria"/>
          <w:sz w:val="22"/>
          <w:szCs w:val="22"/>
        </w:rPr>
        <w:t>Zamawiający może unieważnić postępowanie o udzielenie zamówienia, jeżeli środki publiczne, które zamawiający zamierzał przeznaczyć na sfinansowanie całości lub części zamówienia, nie zostały mu przyznane.</w:t>
      </w:r>
    </w:p>
    <w:p>
      <w:pPr>
        <w:pStyle w:val="Normal"/>
        <w:numPr>
          <w:ilvl w:val="0"/>
          <w:numId w:val="12"/>
        </w:numPr>
        <w:tabs>
          <w:tab w:val="clear" w:pos="708"/>
          <w:tab w:val="left" w:pos="851" w:leader="none"/>
        </w:tabs>
        <w:suppressAutoHyphens w:val="false"/>
        <w:spacing w:lineRule="auto" w:line="276" w:before="120" w:after="120"/>
        <w:jc w:val="both"/>
        <w:rPr/>
      </w:pPr>
      <w:r>
        <w:rPr>
          <w:rFonts w:cs="Arial" w:ascii="Cambria" w:hAnsi="Cambria"/>
          <w:sz w:val="22"/>
          <w:szCs w:val="22"/>
        </w:rPr>
        <w:t>Zamawiający</w:t>
      </w:r>
      <w:r>
        <w:rPr>
          <w:rFonts w:cs="Arial" w:ascii="Cambria" w:hAnsi="Cambria"/>
          <w:bCs/>
          <w:sz w:val="22"/>
          <w:szCs w:val="22"/>
        </w:rPr>
        <w:t xml:space="preserve"> odrzuci ofertę w przypadku zaistnienia przesłanek, o których mowa w art. 226 p.z.p. tj:</w:t>
      </w:r>
    </w:p>
    <w:p>
      <w:pPr>
        <w:pStyle w:val="Akapitzlist1"/>
        <w:numPr>
          <w:ilvl w:val="1"/>
          <w:numId w:val="21"/>
        </w:numPr>
        <w:shd w:val="clear" w:color="auto" w:fill="FFFFFF"/>
        <w:spacing w:lineRule="auto" w:line="276" w:before="120" w:after="120"/>
        <w:contextualSpacing/>
        <w:jc w:val="both"/>
        <w:rPr/>
      </w:pPr>
      <w:r>
        <w:rPr>
          <w:rFonts w:cs="Arial" w:ascii="Cambria" w:hAnsi="Cambria"/>
          <w:color w:val="auto"/>
          <w:sz w:val="22"/>
          <w:szCs w:val="22"/>
        </w:rPr>
        <w:t xml:space="preserve"> </w:t>
      </w:r>
      <w:r>
        <w:rPr>
          <w:rFonts w:cs="Arial" w:ascii="Cambria" w:hAnsi="Cambria"/>
          <w:color w:val="auto"/>
          <w:sz w:val="22"/>
          <w:szCs w:val="22"/>
        </w:rPr>
        <w:t>została złożona po terminie składania ofert;</w:t>
      </w:r>
    </w:p>
    <w:p>
      <w:pPr>
        <w:pStyle w:val="Akapitzlist1"/>
        <w:numPr>
          <w:ilvl w:val="1"/>
          <w:numId w:val="21"/>
        </w:numPr>
        <w:shd w:val="clear" w:color="auto" w:fill="FFFFFF"/>
        <w:spacing w:lineRule="auto" w:line="276" w:before="120" w:after="120"/>
        <w:contextualSpacing/>
        <w:jc w:val="both"/>
        <w:rPr/>
      </w:pPr>
      <w:r>
        <w:rPr>
          <w:rFonts w:cs="Arial" w:ascii="Cambria" w:hAnsi="Cambria"/>
          <w:color w:val="auto"/>
          <w:sz w:val="22"/>
          <w:szCs w:val="22"/>
        </w:rPr>
        <w:t xml:space="preserve"> </w:t>
      </w:r>
      <w:r>
        <w:rPr>
          <w:rFonts w:cs="Arial" w:ascii="Cambria" w:hAnsi="Cambria"/>
          <w:color w:val="auto"/>
          <w:sz w:val="22"/>
          <w:szCs w:val="22"/>
        </w:rPr>
        <w:t>została złożona przez wykonawcę:</w:t>
      </w:r>
    </w:p>
    <w:p>
      <w:pPr>
        <w:pStyle w:val="Akapitzlist1"/>
        <w:numPr>
          <w:ilvl w:val="1"/>
          <w:numId w:val="13"/>
        </w:numPr>
        <w:shd w:val="clear" w:color="auto" w:fill="FFFFFF"/>
        <w:spacing w:lineRule="auto" w:line="276" w:before="120" w:after="120"/>
        <w:contextualSpacing/>
        <w:jc w:val="both"/>
        <w:rPr/>
      </w:pPr>
      <w:r>
        <w:rPr>
          <w:rFonts w:cs="Arial" w:ascii="Cambria" w:hAnsi="Cambria"/>
          <w:color w:val="auto"/>
          <w:sz w:val="22"/>
          <w:szCs w:val="22"/>
        </w:rPr>
        <w:t>podlegającego wykluczeniu z postępowania lub</w:t>
      </w:r>
    </w:p>
    <w:p>
      <w:pPr>
        <w:pStyle w:val="Akapitzlist1"/>
        <w:numPr>
          <w:ilvl w:val="1"/>
          <w:numId w:val="13"/>
        </w:numPr>
        <w:shd w:val="clear" w:color="auto" w:fill="FFFFFF"/>
        <w:spacing w:lineRule="auto" w:line="276" w:before="120" w:after="120"/>
        <w:contextualSpacing/>
        <w:jc w:val="both"/>
        <w:rPr/>
      </w:pPr>
      <w:r>
        <w:rPr>
          <w:rFonts w:cs="Arial" w:ascii="Cambria" w:hAnsi="Cambria"/>
          <w:color w:val="auto"/>
          <w:sz w:val="22"/>
          <w:szCs w:val="22"/>
        </w:rPr>
        <w:t>niespełniającego warunków udziału w postępowaniu, lub</w:t>
      </w:r>
    </w:p>
    <w:p>
      <w:pPr>
        <w:pStyle w:val="Akapitzlist1"/>
        <w:numPr>
          <w:ilvl w:val="1"/>
          <w:numId w:val="13"/>
        </w:numPr>
        <w:shd w:val="clear" w:color="auto" w:fill="FFFFFF"/>
        <w:spacing w:lineRule="auto" w:line="276" w:before="120" w:after="120"/>
        <w:contextualSpacing/>
        <w:jc w:val="both"/>
        <w:rPr/>
      </w:pPr>
      <w:r>
        <w:rPr>
          <w:rFonts w:cs="Arial" w:ascii="Cambria" w:hAnsi="Cambria"/>
          <w:color w:val="auto"/>
          <w:sz w:val="22"/>
          <w:szCs w:val="22"/>
        </w:rPr>
        <w:t>który nie złożył w przewidzianym terminie oświadczenia, o którym mowa w art. 125 ust. 1, p.z.p. lub podmiotowego środka dowodowego, potwierdzających brak podstaw wykluczenia lub spełnianie warunków udziału w postępowaniu, przedmiotowego środka dowodowego, lub innych dokumentów lub oświadczeń;</w:t>
      </w:r>
    </w:p>
    <w:p>
      <w:pPr>
        <w:pStyle w:val="Akapitzlist1"/>
        <w:numPr>
          <w:ilvl w:val="1"/>
          <w:numId w:val="21"/>
        </w:numPr>
        <w:shd w:val="clear" w:color="auto" w:fill="FFFFFF"/>
        <w:spacing w:lineRule="auto" w:line="276" w:before="120" w:after="120"/>
        <w:contextualSpacing/>
        <w:jc w:val="both"/>
        <w:rPr/>
      </w:pPr>
      <w:r>
        <w:rPr>
          <w:rFonts w:cs="Arial" w:ascii="Cambria" w:hAnsi="Cambria"/>
          <w:color w:val="auto"/>
          <w:sz w:val="22"/>
          <w:szCs w:val="22"/>
        </w:rPr>
        <w:t xml:space="preserve"> </w:t>
      </w:r>
      <w:r>
        <w:rPr>
          <w:rFonts w:cs="Arial" w:ascii="Cambria" w:hAnsi="Cambria"/>
          <w:color w:val="auto"/>
          <w:sz w:val="22"/>
          <w:szCs w:val="22"/>
        </w:rPr>
        <w:t>jest niezgodna z przepisami ustawy;</w:t>
      </w:r>
    </w:p>
    <w:p>
      <w:pPr>
        <w:pStyle w:val="Akapitzlist1"/>
        <w:numPr>
          <w:ilvl w:val="1"/>
          <w:numId w:val="21"/>
        </w:numPr>
        <w:shd w:val="clear" w:color="auto" w:fill="FFFFFF"/>
        <w:spacing w:lineRule="auto" w:line="276" w:before="120" w:after="120"/>
        <w:contextualSpacing/>
        <w:jc w:val="both"/>
        <w:rPr/>
      </w:pPr>
      <w:r>
        <w:rPr>
          <w:rFonts w:cs="Arial" w:ascii="Cambria" w:hAnsi="Cambria"/>
          <w:color w:val="auto"/>
          <w:sz w:val="22"/>
          <w:szCs w:val="22"/>
        </w:rPr>
        <w:t xml:space="preserve"> </w:t>
      </w:r>
      <w:r>
        <w:rPr>
          <w:rFonts w:cs="Arial" w:ascii="Cambria" w:hAnsi="Cambria"/>
          <w:color w:val="auto"/>
          <w:sz w:val="22"/>
          <w:szCs w:val="22"/>
        </w:rPr>
        <w:t>jest nieważna na podstawie odrębnych przepisów;</w:t>
      </w:r>
    </w:p>
    <w:p>
      <w:pPr>
        <w:pStyle w:val="Akapitzlist1"/>
        <w:numPr>
          <w:ilvl w:val="1"/>
          <w:numId w:val="21"/>
        </w:numPr>
        <w:shd w:val="clear" w:color="auto" w:fill="FFFFFF"/>
        <w:spacing w:lineRule="auto" w:line="276" w:before="120" w:after="120"/>
        <w:contextualSpacing/>
        <w:jc w:val="both"/>
        <w:rPr/>
      </w:pPr>
      <w:r>
        <w:rPr>
          <w:rFonts w:cs="Arial" w:ascii="Cambria" w:hAnsi="Cambria"/>
          <w:color w:val="auto"/>
          <w:sz w:val="22"/>
          <w:szCs w:val="22"/>
        </w:rPr>
        <w:t xml:space="preserve"> </w:t>
      </w:r>
      <w:r>
        <w:rPr>
          <w:rFonts w:cs="Arial" w:ascii="Cambria" w:hAnsi="Cambria"/>
          <w:color w:val="auto"/>
          <w:sz w:val="22"/>
          <w:szCs w:val="22"/>
        </w:rPr>
        <w:t>jej treść jest niezgodna z warunkami zamówienia;</w:t>
      </w:r>
    </w:p>
    <w:p>
      <w:pPr>
        <w:pStyle w:val="Akapitzlist1"/>
        <w:numPr>
          <w:ilvl w:val="1"/>
          <w:numId w:val="21"/>
        </w:numPr>
        <w:shd w:val="clear" w:color="auto" w:fill="FFFFFF"/>
        <w:spacing w:lineRule="auto" w:line="276" w:before="120" w:after="120"/>
        <w:contextualSpacing/>
        <w:jc w:val="both"/>
        <w:rPr/>
      </w:pPr>
      <w:r>
        <w:rPr>
          <w:rFonts w:cs="Arial" w:ascii="Cambria" w:hAnsi="Cambria"/>
          <w:color w:val="auto"/>
          <w:sz w:val="22"/>
          <w:szCs w:val="22"/>
        </w:rPr>
        <w:t xml:space="preserve"> </w:t>
      </w:r>
      <w:r>
        <w:rPr>
          <w:rFonts w:cs="Arial" w:ascii="Cambria" w:hAnsi="Cambria"/>
          <w:color w:val="auto"/>
          <w:sz w:val="22"/>
          <w:szCs w:val="22"/>
        </w:rPr>
        <w:t>nie została sporządzona lub przekazana w sposób zgodny z wymaganiami technicznymi oraz organizacyjnymi sporządzania lub przekazywania ofert przy użyciu środków komunikacji elektronicznej określonymi przez zamawiającego;</w:t>
      </w:r>
    </w:p>
    <w:p>
      <w:pPr>
        <w:pStyle w:val="Akapitzlist1"/>
        <w:numPr>
          <w:ilvl w:val="1"/>
          <w:numId w:val="21"/>
        </w:numPr>
        <w:shd w:val="clear" w:color="auto" w:fill="FFFFFF"/>
        <w:spacing w:lineRule="auto" w:line="276" w:before="120" w:after="120"/>
        <w:ind w:hanging="567" w:left="1276"/>
        <w:contextualSpacing/>
        <w:jc w:val="both"/>
        <w:rPr/>
      </w:pPr>
      <w:r>
        <w:rPr>
          <w:rFonts w:cs="Arial" w:ascii="Cambria" w:hAnsi="Cambria"/>
          <w:color w:val="auto"/>
          <w:sz w:val="22"/>
          <w:szCs w:val="22"/>
        </w:rPr>
        <w:t xml:space="preserve"> </w:t>
      </w:r>
      <w:r>
        <w:rPr>
          <w:rFonts w:cs="Arial" w:ascii="Cambria" w:hAnsi="Cambria"/>
          <w:color w:val="auto"/>
          <w:sz w:val="22"/>
          <w:szCs w:val="22"/>
        </w:rPr>
        <w:t xml:space="preserve">została złożona w warunkach czynu nieuczciwej konkurencji w rozumieniu </w:t>
      </w:r>
      <w:r>
        <w:fldChar w:fldCharType="begin"/>
      </w:r>
      <w:r>
        <w:rPr>
          <w:rStyle w:val="Style8"/>
          <w:sz w:val="22"/>
          <w:szCs w:val="22"/>
          <w:rFonts w:cs="Arial" w:ascii="Cambria" w:hAnsi="Cambria"/>
          <w:color w:val="auto"/>
        </w:rPr>
        <w:instrText xml:space="preserve"> HYPERLINK "https://sip.lex.pl/" \l "/document/16795259?cm=DOCUMENT"</w:instrText>
      </w:r>
      <w:r>
        <w:rPr>
          <w:rStyle w:val="Style8"/>
          <w:sz w:val="22"/>
          <w:szCs w:val="22"/>
          <w:rFonts w:cs="Arial" w:ascii="Cambria" w:hAnsi="Cambria"/>
          <w:color w:val="auto"/>
        </w:rPr>
        <w:fldChar w:fldCharType="separate"/>
      </w:r>
      <w:r>
        <w:rPr>
          <w:rStyle w:val="Style8"/>
          <w:rFonts w:cs="Arial" w:ascii="Cambria" w:hAnsi="Cambria"/>
          <w:color w:val="auto"/>
          <w:sz w:val="22"/>
          <w:szCs w:val="22"/>
        </w:rPr>
        <w:t>ustawy</w:t>
      </w:r>
      <w:r>
        <w:rPr>
          <w:rStyle w:val="Style8"/>
          <w:sz w:val="22"/>
          <w:szCs w:val="22"/>
          <w:rFonts w:cs="Arial" w:ascii="Cambria" w:hAnsi="Cambria"/>
          <w:color w:val="auto"/>
        </w:rPr>
        <w:fldChar w:fldCharType="end"/>
      </w:r>
      <w:r>
        <w:rPr>
          <w:rFonts w:cs="Arial" w:ascii="Cambria" w:hAnsi="Cambria"/>
          <w:color w:val="auto"/>
          <w:sz w:val="22"/>
          <w:szCs w:val="22"/>
        </w:rPr>
        <w:t xml:space="preserve"> z dnia 16 kwietnia 1993 r. o zwalczaniu nieuczciwej konkurencji;</w:t>
      </w:r>
    </w:p>
    <w:p>
      <w:pPr>
        <w:pStyle w:val="Akapitzlist1"/>
        <w:numPr>
          <w:ilvl w:val="1"/>
          <w:numId w:val="21"/>
        </w:numPr>
        <w:shd w:val="clear" w:color="auto" w:fill="FFFFFF"/>
        <w:spacing w:lineRule="auto" w:line="276" w:before="120" w:after="120"/>
        <w:ind w:hanging="567" w:left="1276"/>
        <w:contextualSpacing/>
        <w:jc w:val="both"/>
        <w:rPr/>
      </w:pPr>
      <w:r>
        <w:rPr>
          <w:rFonts w:cs="Arial" w:ascii="Cambria" w:hAnsi="Cambria"/>
          <w:color w:val="auto"/>
          <w:sz w:val="22"/>
          <w:szCs w:val="22"/>
        </w:rPr>
        <w:t xml:space="preserve"> </w:t>
      </w:r>
      <w:r>
        <w:rPr>
          <w:rFonts w:cs="Arial" w:ascii="Cambria" w:hAnsi="Cambria"/>
          <w:color w:val="auto"/>
          <w:sz w:val="22"/>
          <w:szCs w:val="22"/>
        </w:rPr>
        <w:t>zawiera rażąco niską cenę lub koszt w stosunku do przedmiotu zamówienia;</w:t>
      </w:r>
    </w:p>
    <w:p>
      <w:pPr>
        <w:pStyle w:val="Akapitzlist1"/>
        <w:numPr>
          <w:ilvl w:val="1"/>
          <w:numId w:val="21"/>
        </w:numPr>
        <w:shd w:val="clear" w:color="auto" w:fill="FFFFFF"/>
        <w:spacing w:lineRule="auto" w:line="276" w:before="120" w:after="120"/>
        <w:ind w:hanging="567" w:left="1276"/>
        <w:contextualSpacing/>
        <w:jc w:val="both"/>
        <w:rPr/>
      </w:pPr>
      <w:r>
        <w:rPr>
          <w:rFonts w:cs="Arial" w:ascii="Cambria" w:hAnsi="Cambria"/>
          <w:color w:val="auto"/>
          <w:sz w:val="22"/>
          <w:szCs w:val="22"/>
        </w:rPr>
        <w:t xml:space="preserve"> </w:t>
      </w:r>
      <w:r>
        <w:rPr>
          <w:rFonts w:cs="Arial" w:ascii="Cambria" w:hAnsi="Cambria"/>
          <w:color w:val="auto"/>
          <w:sz w:val="22"/>
          <w:szCs w:val="22"/>
        </w:rPr>
        <w:t>zawiera błędy w obliczeniu ceny lub kosztu;</w:t>
      </w:r>
    </w:p>
    <w:p>
      <w:pPr>
        <w:pStyle w:val="Akapitzlist1"/>
        <w:numPr>
          <w:ilvl w:val="1"/>
          <w:numId w:val="21"/>
        </w:numPr>
        <w:shd w:val="clear" w:color="auto" w:fill="FFFFFF"/>
        <w:spacing w:lineRule="auto" w:line="276" w:before="120" w:after="120"/>
        <w:ind w:hanging="567" w:left="1276"/>
        <w:contextualSpacing/>
        <w:jc w:val="both"/>
        <w:rPr/>
      </w:pPr>
      <w:r>
        <w:rPr>
          <w:rFonts w:cs="Arial" w:ascii="Cambria" w:hAnsi="Cambria"/>
          <w:color w:val="auto"/>
          <w:sz w:val="22"/>
          <w:szCs w:val="22"/>
        </w:rPr>
        <w:t>wykonawca w wyznaczonym terminie zakwestionował poprawienie omyłki, o której mowa w art. 223 ust. 2 pkt 3;</w:t>
      </w:r>
    </w:p>
    <w:p>
      <w:pPr>
        <w:pStyle w:val="Akapitzlist1"/>
        <w:numPr>
          <w:ilvl w:val="1"/>
          <w:numId w:val="21"/>
        </w:numPr>
        <w:shd w:val="clear" w:color="auto" w:fill="FFFFFF"/>
        <w:spacing w:lineRule="auto" w:line="276" w:before="120" w:after="120"/>
        <w:ind w:hanging="567" w:left="1276"/>
        <w:contextualSpacing/>
        <w:jc w:val="both"/>
        <w:rPr/>
      </w:pPr>
      <w:r>
        <w:rPr>
          <w:rFonts w:cs="Arial" w:ascii="Cambria" w:hAnsi="Cambria"/>
          <w:color w:val="auto"/>
          <w:sz w:val="22"/>
          <w:szCs w:val="22"/>
        </w:rPr>
        <w:t>wykonawca nie wyraził pisemnej zgody na przedłużenie terminu związania ofertą;</w:t>
      </w:r>
    </w:p>
    <w:p>
      <w:pPr>
        <w:pStyle w:val="Akapitzlist1"/>
        <w:numPr>
          <w:ilvl w:val="1"/>
          <w:numId w:val="21"/>
        </w:numPr>
        <w:shd w:val="clear" w:color="auto" w:fill="FFFFFF"/>
        <w:spacing w:lineRule="auto" w:line="276" w:before="120" w:after="120"/>
        <w:ind w:hanging="567" w:left="1276"/>
        <w:contextualSpacing/>
        <w:jc w:val="both"/>
        <w:rPr/>
      </w:pPr>
      <w:r>
        <w:rPr>
          <w:rFonts w:cs="Arial" w:ascii="Cambria" w:hAnsi="Cambria"/>
          <w:color w:val="auto"/>
          <w:sz w:val="22"/>
          <w:szCs w:val="22"/>
        </w:rPr>
        <w:t xml:space="preserve">wykonawca nie wyraził pisemnej zgody na wybór jego oferty po upływie terminu </w:t>
      </w:r>
      <w:r>
        <w:rPr>
          <w:rFonts w:cs="Arial" w:ascii="Cambria" w:hAnsi="Cambria"/>
          <w:color w:themeColor="text1" w:val="000000"/>
          <w:sz w:val="22"/>
          <w:szCs w:val="22"/>
        </w:rPr>
        <w:t>związania ofertą;</w:t>
      </w:r>
    </w:p>
    <w:p>
      <w:pPr>
        <w:pStyle w:val="Akapitzlist1"/>
        <w:numPr>
          <w:ilvl w:val="1"/>
          <w:numId w:val="21"/>
        </w:numPr>
        <w:shd w:val="clear" w:color="auto" w:fill="FFFFFF"/>
        <w:spacing w:lineRule="auto" w:line="276" w:before="120" w:after="120"/>
        <w:ind w:hanging="567" w:left="1276"/>
        <w:contextualSpacing/>
        <w:jc w:val="both"/>
        <w:rPr/>
      </w:pPr>
      <w:r>
        <w:rPr>
          <w:rFonts w:cs="Arial" w:ascii="Cambria" w:hAnsi="Cambria"/>
          <w:color w:themeColor="text1" w:val="000000"/>
          <w:sz w:val="22"/>
          <w:szCs w:val="22"/>
        </w:rPr>
        <w:t>wykonawca nie wniósł wadium, lub wniósł w sposób nieprawidłowy lub nie utrzymywał wadium nieprzerwanie do upływu terminu związania ofertą lub złożył wniosek o zwrot wadium w przypadku, o którym mowa w </w:t>
      </w:r>
      <w:hyperlink r:id="rId7">
        <w:r>
          <w:rPr>
            <w:rStyle w:val="Style8"/>
            <w:rFonts w:cs="Arial" w:ascii="Cambria" w:hAnsi="Cambria"/>
            <w:color w:themeColor="text1" w:val="000000"/>
            <w:sz w:val="22"/>
            <w:szCs w:val="22"/>
          </w:rPr>
          <w:t>art. 98 ust. 2 pkt 3</w:t>
        </w:r>
      </w:hyperlink>
      <w:r>
        <w:rPr>
          <w:rFonts w:cs="Arial" w:ascii="Cambria" w:hAnsi="Cambria"/>
          <w:color w:themeColor="text1" w:val="000000"/>
          <w:sz w:val="22"/>
          <w:szCs w:val="22"/>
        </w:rPr>
        <w:t xml:space="preserve"> pzp;</w:t>
      </w:r>
    </w:p>
    <w:p>
      <w:pPr>
        <w:pStyle w:val="Akapitzlist1"/>
        <w:numPr>
          <w:ilvl w:val="1"/>
          <w:numId w:val="21"/>
        </w:numPr>
        <w:shd w:val="clear" w:color="auto" w:fill="FFFFFF"/>
        <w:spacing w:lineRule="auto" w:line="276" w:before="120" w:after="120"/>
        <w:ind w:hanging="567" w:left="1276"/>
        <w:contextualSpacing/>
        <w:jc w:val="both"/>
        <w:rPr/>
      </w:pPr>
      <w:r>
        <w:rPr>
          <w:rFonts w:cs="Arial" w:ascii="Cambria" w:hAnsi="Cambria"/>
          <w:color w:val="auto"/>
          <w:sz w:val="22"/>
          <w:szCs w:val="22"/>
        </w:rPr>
        <w:t>jej przyjęcie naruszałoby bezpieczeństwo publiczne lub istotny interes bezpieczeństwa państwa, a tego bezpieczeństwa lub interesu nie można zagwarantować w inny sposób.</w:t>
      </w:r>
    </w:p>
    <w:p>
      <w:pPr>
        <w:pStyle w:val="Akapitzlist1"/>
        <w:shd w:val="clear" w:color="auto" w:fill="FFFFFF"/>
        <w:spacing w:lineRule="auto" w:line="276" w:before="120" w:after="120"/>
        <w:ind w:left="1069"/>
        <w:contextualSpacing/>
        <w:jc w:val="both"/>
        <w:rPr>
          <w:rFonts w:ascii="Cambria" w:hAnsi="Cambria" w:cs="Arial"/>
          <w:color w:val="auto"/>
          <w:sz w:val="22"/>
          <w:szCs w:val="22"/>
        </w:rPr>
      </w:pPr>
      <w:r>
        <w:rPr>
          <w:rFonts w:cs="Arial" w:ascii="Cambria" w:hAnsi="Cambria"/>
          <w:color w:val="auto"/>
          <w:sz w:val="22"/>
          <w:szCs w:val="22"/>
        </w:rPr>
      </w:r>
    </w:p>
    <w:p>
      <w:pPr>
        <w:pStyle w:val="Normal"/>
        <w:numPr>
          <w:ilvl w:val="0"/>
          <w:numId w:val="1"/>
        </w:numPr>
        <w:tabs>
          <w:tab w:val="clear" w:pos="708"/>
          <w:tab w:val="left" w:pos="464" w:leader="none"/>
        </w:tabs>
        <w:spacing w:lineRule="auto" w:line="276" w:before="120" w:after="120"/>
        <w:jc w:val="both"/>
        <w:rPr/>
      </w:pPr>
      <w:r>
        <w:rPr>
          <w:rFonts w:cs="Arial" w:ascii="Cambria" w:hAnsi="Cambria"/>
          <w:b/>
          <w:sz w:val="22"/>
          <w:szCs w:val="22"/>
        </w:rPr>
        <w:t>INFORMACJE O FORMALNOŚCIACH JAKIE POWINNY ZOSTAĆ DOPEŁNIONE PRZED ZAWARCIEM UMOWY W SPRAWIE ZAMÓWIENIA PUBLICZNEGO</w:t>
      </w:r>
    </w:p>
    <w:p>
      <w:pPr>
        <w:pStyle w:val="Normal"/>
        <w:numPr>
          <w:ilvl w:val="0"/>
          <w:numId w:val="22"/>
        </w:numPr>
        <w:tabs>
          <w:tab w:val="clear" w:pos="708"/>
          <w:tab w:val="left" w:pos="576" w:leader="none"/>
          <w:tab w:val="left" w:pos="851" w:leader="none"/>
        </w:tabs>
        <w:spacing w:lineRule="auto" w:line="276" w:before="120" w:after="0"/>
        <w:ind w:hanging="357" w:left="572"/>
        <w:jc w:val="both"/>
        <w:rPr/>
      </w:pPr>
      <w:r>
        <w:rPr>
          <w:rFonts w:cs="Arial" w:ascii="Cambria" w:hAnsi="Cambria"/>
          <w:bCs/>
          <w:sz w:val="22"/>
          <w:szCs w:val="22"/>
        </w:rPr>
        <w:t xml:space="preserve">O </w:t>
      </w:r>
      <w:r>
        <w:rPr>
          <w:rFonts w:cs="Cambria" w:ascii="Cambria" w:hAnsi="Cambria"/>
          <w:bCs/>
          <w:sz w:val="22"/>
          <w:szCs w:val="22"/>
        </w:rPr>
        <w:t>terminie</w:t>
      </w:r>
      <w:r>
        <w:rPr>
          <w:rFonts w:cs="Arial" w:ascii="Cambria" w:hAnsi="Cambria"/>
          <w:bCs/>
          <w:sz w:val="22"/>
          <w:szCs w:val="22"/>
        </w:rPr>
        <w:t xml:space="preserve"> i miejscu podpisania umowy w sprawie zamówienia publicznego, Zamawiający powiadomi Wykonawcę, którego ofertę wybrano jako najkorzystniejszą.</w:t>
      </w:r>
    </w:p>
    <w:p>
      <w:pPr>
        <w:pStyle w:val="Normal"/>
        <w:numPr>
          <w:ilvl w:val="0"/>
          <w:numId w:val="22"/>
        </w:numPr>
        <w:tabs>
          <w:tab w:val="clear" w:pos="708"/>
          <w:tab w:val="left" w:pos="576" w:leader="none"/>
          <w:tab w:val="left" w:pos="851" w:leader="none"/>
        </w:tabs>
        <w:spacing w:lineRule="auto" w:line="276" w:before="120" w:after="0"/>
        <w:ind w:hanging="357" w:left="572"/>
        <w:jc w:val="both"/>
        <w:rPr/>
      </w:pPr>
      <w:r>
        <w:rPr>
          <w:rFonts w:cs="Cambria" w:ascii="Cambria" w:hAnsi="Cambria"/>
          <w:bCs/>
          <w:sz w:val="22"/>
          <w:szCs w:val="22"/>
        </w:rPr>
        <w:t>Przed podpisaniem umowy w sprawie zamówienia publicznego, Wykonawca zaproszony do podpisania umowy zobowiązany jest:</w:t>
      </w:r>
    </w:p>
    <w:p>
      <w:pPr>
        <w:pStyle w:val="Normal"/>
        <w:numPr>
          <w:ilvl w:val="1"/>
          <w:numId w:val="22"/>
        </w:numPr>
        <w:tabs>
          <w:tab w:val="clear" w:pos="708"/>
          <w:tab w:val="left" w:pos="576" w:leader="none"/>
          <w:tab w:val="left" w:pos="851" w:leader="none"/>
        </w:tabs>
        <w:spacing w:lineRule="auto" w:line="276" w:before="120" w:after="0"/>
        <w:jc w:val="both"/>
        <w:rPr>
          <w:rFonts w:ascii="Cambria" w:hAnsi="Cambria" w:cs="Cambria"/>
          <w:bCs/>
          <w:sz w:val="22"/>
          <w:szCs w:val="22"/>
        </w:rPr>
      </w:pPr>
      <w:bookmarkStart w:id="9" w:name="_GoBack"/>
      <w:r>
        <w:rPr>
          <w:rFonts w:cs="Cambria" w:ascii="Cambria" w:hAnsi="Cambria"/>
          <w:bCs/>
          <w:sz w:val="22"/>
          <w:szCs w:val="22"/>
        </w:rPr>
        <w:t>Przedstawić Zamawiającemu kosztorys wskazujący sposób wyliczenia ceny ofertowej i zakres rzeczowy zamówienia z wyszczególnieniem zastosowanych w kosztorysie ofertowym składników cenotwórczych (stawka r-g w zł; Kp - koszty pośrednie w % od R i S; Kz – koszty zakupu w % od M; Z- zysk w % od R, S, Kp).</w:t>
      </w:r>
      <w:bookmarkEnd w:id="9"/>
    </w:p>
    <w:p>
      <w:pPr>
        <w:pStyle w:val="Normal"/>
        <w:numPr>
          <w:ilvl w:val="1"/>
          <w:numId w:val="22"/>
        </w:numPr>
        <w:tabs>
          <w:tab w:val="clear" w:pos="708"/>
          <w:tab w:val="left" w:pos="576" w:leader="none"/>
          <w:tab w:val="left" w:pos="851" w:leader="none"/>
        </w:tabs>
        <w:spacing w:lineRule="auto" w:line="276" w:before="120" w:after="0"/>
        <w:jc w:val="both"/>
        <w:rPr/>
      </w:pPr>
      <w:r>
        <w:rPr>
          <w:rFonts w:cs="Cambria" w:ascii="Cambria" w:hAnsi="Cambria"/>
          <w:bCs/>
          <w:sz w:val="22"/>
          <w:szCs w:val="22"/>
        </w:rPr>
        <w:t>w przypadku Wykonawców wspólnie ubiegających się o udzielenie zamówienia – do przedłożenia umowy regulującej ich współpracę,</w:t>
      </w:r>
    </w:p>
    <w:p>
      <w:pPr>
        <w:pStyle w:val="Normal"/>
        <w:numPr>
          <w:ilvl w:val="1"/>
          <w:numId w:val="22"/>
        </w:numPr>
        <w:tabs>
          <w:tab w:val="clear" w:pos="708"/>
          <w:tab w:val="left" w:pos="576" w:leader="none"/>
          <w:tab w:val="left" w:pos="851" w:leader="none"/>
        </w:tabs>
        <w:spacing w:lineRule="auto" w:line="276" w:before="120" w:after="0"/>
        <w:jc w:val="both"/>
        <w:rPr/>
      </w:pPr>
      <w:r>
        <w:rPr>
          <w:rFonts w:cs="Cambria" w:ascii="Cambria" w:hAnsi="Cambria"/>
          <w:bCs/>
          <w:sz w:val="22"/>
          <w:szCs w:val="22"/>
        </w:rPr>
        <w:t xml:space="preserve">wnieść zabezpieczenie należytego wykonania umowy, zgodnie z zapisami </w:t>
        <w:br/>
        <w:t>sekcji IX SWZ,</w:t>
      </w:r>
    </w:p>
    <w:p>
      <w:pPr>
        <w:pStyle w:val="Normal"/>
        <w:spacing w:lineRule="auto" w:line="276"/>
        <w:rPr>
          <w:rFonts w:ascii="Cambria" w:hAnsi="Cambria" w:eastAsia="Lucida Sans Unicode" w:cs="Arial"/>
          <w:sz w:val="22"/>
          <w:szCs w:val="22"/>
          <w:lang w:eastAsia="pl-PL"/>
        </w:rPr>
      </w:pPr>
      <w:r>
        <w:rPr>
          <w:rFonts w:eastAsia="Lucida Sans Unicode" w:cs="Arial" w:ascii="Cambria" w:hAnsi="Cambria"/>
          <w:sz w:val="22"/>
          <w:szCs w:val="22"/>
          <w:lang w:eastAsia="pl-PL"/>
        </w:rPr>
      </w:r>
      <w:r>
        <w:br w:type="page"/>
      </w:r>
    </w:p>
    <w:p>
      <w:pPr>
        <w:pStyle w:val="Normal"/>
        <w:spacing w:lineRule="auto" w:line="276" w:before="0" w:after="0"/>
        <w:rPr>
          <w:rFonts w:ascii="Cambria" w:hAnsi="Cambria" w:eastAsia="Lucida Sans Unicode" w:cs="Arial"/>
          <w:sz w:val="22"/>
          <w:szCs w:val="22"/>
          <w:lang w:eastAsia="pl-PL"/>
        </w:rPr>
      </w:pPr>
      <w:r>
        <w:rPr>
          <w:rFonts w:eastAsia="Lucida Sans Unicode" w:cs="Arial" w:ascii="Cambria" w:hAnsi="Cambria"/>
          <w:sz w:val="22"/>
          <w:szCs w:val="22"/>
          <w:lang w:eastAsia="pl-PL"/>
        </w:rPr>
      </w:r>
    </w:p>
    <w:p>
      <w:pPr>
        <w:pStyle w:val="Normal"/>
        <w:numPr>
          <w:ilvl w:val="0"/>
          <w:numId w:val="1"/>
        </w:numPr>
        <w:tabs>
          <w:tab w:val="clear" w:pos="708"/>
          <w:tab w:val="left" w:pos="464" w:leader="none"/>
        </w:tabs>
        <w:spacing w:lineRule="auto" w:line="276" w:before="120" w:after="120"/>
        <w:jc w:val="both"/>
        <w:rPr/>
      </w:pPr>
      <w:r>
        <w:rPr>
          <w:rFonts w:cs="Arial" w:ascii="Cambria" w:hAnsi="Cambria"/>
          <w:b/>
          <w:sz w:val="22"/>
          <w:szCs w:val="22"/>
        </w:rPr>
        <w:t>ŚRODKI OCHRONY PRAWNEJ.</w:t>
      </w:r>
    </w:p>
    <w:p>
      <w:pPr>
        <w:pStyle w:val="Normal"/>
        <w:numPr>
          <w:ilvl w:val="3"/>
          <w:numId w:val="8"/>
        </w:numPr>
        <w:tabs>
          <w:tab w:val="clear" w:pos="708"/>
          <w:tab w:val="left" w:pos="400" w:leader="none"/>
        </w:tabs>
        <w:spacing w:lineRule="auto" w:line="276" w:before="6" w:after="6"/>
        <w:ind w:hanging="400" w:left="400"/>
        <w:jc w:val="both"/>
        <w:rPr/>
      </w:pPr>
      <w:r>
        <w:rPr>
          <w:rFonts w:cs="Arial" w:ascii="Cambria" w:hAnsi="Cambria"/>
          <w:sz w:val="22"/>
          <w:szCs w:val="22"/>
        </w:rPr>
        <w:t xml:space="preserve">Środki ochrony prawnej – określone w dziale IX p.z.p. - przysługują wykonawcy, oraz innemu podmiotowi, jeżeli ma lub miał interes w uzyskaniu zamówienia oraz poniósł lub może ponieść szkodę w wyniku naruszenia przez zamawiającego przepisów p.z.p. </w:t>
      </w:r>
    </w:p>
    <w:p>
      <w:pPr>
        <w:pStyle w:val="Normal"/>
        <w:numPr>
          <w:ilvl w:val="3"/>
          <w:numId w:val="8"/>
        </w:numPr>
        <w:tabs>
          <w:tab w:val="clear" w:pos="708"/>
          <w:tab w:val="left" w:pos="400" w:leader="none"/>
        </w:tabs>
        <w:spacing w:lineRule="auto" w:line="276" w:before="6" w:after="6"/>
        <w:ind w:hanging="400" w:left="400"/>
        <w:jc w:val="both"/>
        <w:rPr/>
      </w:pPr>
      <w:r>
        <w:rPr>
          <w:rFonts w:cs="Arial" w:ascii="Cambria" w:hAnsi="Cambria"/>
          <w:sz w:val="22"/>
          <w:szCs w:val="22"/>
        </w:rPr>
        <w:t>Odwołanie przysługuje na:</w:t>
      </w:r>
    </w:p>
    <w:p>
      <w:pPr>
        <w:pStyle w:val="Normal"/>
        <w:numPr>
          <w:ilvl w:val="0"/>
          <w:numId w:val="14"/>
        </w:numPr>
        <w:tabs>
          <w:tab w:val="clear" w:pos="708"/>
          <w:tab w:val="left" w:pos="400" w:leader="none"/>
        </w:tabs>
        <w:spacing w:lineRule="auto" w:line="276" w:before="120" w:after="120"/>
        <w:jc w:val="both"/>
        <w:rPr/>
      </w:pPr>
      <w:r>
        <w:rPr>
          <w:rFonts w:cs="Arial" w:ascii="Cambria" w:hAnsi="Cambria"/>
          <w:sz w:val="22"/>
          <w:szCs w:val="22"/>
        </w:rPr>
        <w:t>niezgodną z przepisami ustawy czynność zamawiającego, podjętą w postępowaniu o udzielenie zamówienia, w tym na projektowane postanowienie umowy;</w:t>
      </w:r>
    </w:p>
    <w:p>
      <w:pPr>
        <w:pStyle w:val="Normal"/>
        <w:numPr>
          <w:ilvl w:val="0"/>
          <w:numId w:val="14"/>
        </w:numPr>
        <w:tabs>
          <w:tab w:val="clear" w:pos="708"/>
          <w:tab w:val="left" w:pos="400" w:leader="none"/>
        </w:tabs>
        <w:spacing w:lineRule="auto" w:line="276" w:before="120" w:after="120"/>
        <w:jc w:val="both"/>
        <w:rPr/>
      </w:pPr>
      <w:r>
        <w:rPr>
          <w:rFonts w:cs="Arial" w:ascii="Cambria" w:hAnsi="Cambria"/>
          <w:sz w:val="22"/>
          <w:szCs w:val="22"/>
        </w:rPr>
        <w:t>zaniechanie czynności w postępowaniu o udzielenie zamówienia do której zamawiający był obowiązany na podstawie ustawy;</w:t>
      </w:r>
    </w:p>
    <w:p>
      <w:pPr>
        <w:pStyle w:val="Normal"/>
        <w:numPr>
          <w:ilvl w:val="3"/>
          <w:numId w:val="8"/>
        </w:numPr>
        <w:tabs>
          <w:tab w:val="clear" w:pos="708"/>
          <w:tab w:val="left" w:pos="400" w:leader="none"/>
        </w:tabs>
        <w:spacing w:lineRule="auto" w:line="276" w:before="6" w:after="6"/>
        <w:ind w:hanging="400" w:left="400"/>
        <w:jc w:val="both"/>
        <w:rPr/>
      </w:pPr>
      <w:r>
        <w:rPr>
          <w:rFonts w:cs="Arial" w:ascii="Cambria" w:hAnsi="Cambria"/>
          <w:sz w:val="22"/>
          <w:szCs w:val="22"/>
        </w:rPr>
        <w:t>Odwołanie wnosi się do Prezesa Krajowej Izby Odwoławczej.</w:t>
      </w:r>
    </w:p>
    <w:p>
      <w:pPr>
        <w:pStyle w:val="Normal"/>
        <w:numPr>
          <w:ilvl w:val="3"/>
          <w:numId w:val="8"/>
        </w:numPr>
        <w:tabs>
          <w:tab w:val="clear" w:pos="708"/>
          <w:tab w:val="left" w:pos="400" w:leader="none"/>
        </w:tabs>
        <w:spacing w:lineRule="auto" w:line="276" w:before="6" w:after="6"/>
        <w:ind w:hanging="400" w:left="400"/>
        <w:jc w:val="both"/>
        <w:rPr/>
      </w:pPr>
      <w:r>
        <w:rPr>
          <w:rFonts w:cs="Arial" w:ascii="Cambria" w:hAnsi="Cambria"/>
          <w:sz w:val="22"/>
          <w:szCs w:val="22"/>
        </w:rPr>
        <w:t>Odwołujący przekazuje zamawiającemu odwołanie wniesione w formie elektronicznej albo postaci elektronicznej albo kopię tego odwołania, jeżeli zostało ono wniesione w formie pisemnej, przed upływem terminu do wniesienia odwołania w taki sposób, aby mógł on zapoznać się z jego treścią przed upływem tego terminu.</w:t>
      </w:r>
    </w:p>
    <w:p>
      <w:pPr>
        <w:pStyle w:val="Normal"/>
        <w:numPr>
          <w:ilvl w:val="3"/>
          <w:numId w:val="8"/>
        </w:numPr>
        <w:tabs>
          <w:tab w:val="clear" w:pos="708"/>
          <w:tab w:val="left" w:pos="400" w:leader="none"/>
        </w:tabs>
        <w:spacing w:lineRule="auto" w:line="276" w:before="6" w:after="6"/>
        <w:ind w:hanging="400" w:left="400"/>
        <w:jc w:val="both"/>
        <w:rPr/>
      </w:pPr>
      <w:r>
        <w:rPr>
          <w:rFonts w:cs="Arial" w:ascii="Cambria" w:hAnsi="Cambria"/>
          <w:sz w:val="22"/>
          <w:szCs w:val="22"/>
        </w:rPr>
        <w:t>Domniemywa się, że zamawiający mógł zapoznać się z treścią odwołania przed upływem terminu do jego wniesienia, jeżeli przekazanie odpowiednio odwołania albo jego kopii nastąpiło przed upływem terminu do jego wniesienia przy użyciu środków komunikacji elektronicznej.</w:t>
      </w:r>
    </w:p>
    <w:p>
      <w:pPr>
        <w:pStyle w:val="Normal"/>
        <w:numPr>
          <w:ilvl w:val="3"/>
          <w:numId w:val="8"/>
        </w:numPr>
        <w:tabs>
          <w:tab w:val="clear" w:pos="708"/>
          <w:tab w:val="left" w:pos="400" w:leader="none"/>
        </w:tabs>
        <w:spacing w:lineRule="auto" w:line="276" w:before="6" w:after="6"/>
        <w:ind w:hanging="400" w:left="400"/>
        <w:jc w:val="both"/>
        <w:rPr/>
      </w:pPr>
      <w:r>
        <w:rPr>
          <w:rFonts w:cs="Arial" w:ascii="Cambria" w:hAnsi="Cambria"/>
          <w:sz w:val="22"/>
          <w:szCs w:val="22"/>
        </w:rPr>
        <w:t>Odwołanie wnosi się w terminie:</w:t>
      </w:r>
    </w:p>
    <w:p>
      <w:pPr>
        <w:pStyle w:val="Normal"/>
        <w:numPr>
          <w:ilvl w:val="0"/>
          <w:numId w:val="15"/>
        </w:numPr>
        <w:tabs>
          <w:tab w:val="clear" w:pos="708"/>
          <w:tab w:val="left" w:pos="400" w:leader="none"/>
        </w:tabs>
        <w:spacing w:lineRule="auto" w:line="276" w:before="120" w:after="120"/>
        <w:jc w:val="both"/>
        <w:rPr/>
      </w:pPr>
      <w:r>
        <w:rPr>
          <w:rFonts w:cs="Arial" w:ascii="Cambria" w:hAnsi="Cambria"/>
          <w:sz w:val="22"/>
          <w:szCs w:val="22"/>
        </w:rPr>
        <w:t>5 dni od dnia przekazania informacji o czynności zamawiającego stanowiącej podstawę jego wniesienia, jeżeli informacja została przekazana przy użyciu środków komunikacji elektronicznej,</w:t>
      </w:r>
    </w:p>
    <w:p>
      <w:pPr>
        <w:pStyle w:val="Normal"/>
        <w:numPr>
          <w:ilvl w:val="0"/>
          <w:numId w:val="15"/>
        </w:numPr>
        <w:tabs>
          <w:tab w:val="clear" w:pos="708"/>
          <w:tab w:val="left" w:pos="400" w:leader="none"/>
        </w:tabs>
        <w:spacing w:lineRule="auto" w:line="276" w:before="120" w:after="120"/>
        <w:jc w:val="both"/>
        <w:rPr/>
      </w:pPr>
      <w:r>
        <w:rPr>
          <w:rFonts w:cs="Arial" w:ascii="Cambria" w:hAnsi="Cambria"/>
          <w:sz w:val="22"/>
          <w:szCs w:val="22"/>
        </w:rPr>
        <w:t>10 dni od dnia przekazania informacji o czynności zamawiającego stanowiącej podstawę jego wniesienia, jeżeli informacja została przekazana w sposób inny niż określony w lit. a)</w:t>
      </w:r>
    </w:p>
    <w:p>
      <w:pPr>
        <w:pStyle w:val="Normal"/>
        <w:numPr>
          <w:ilvl w:val="3"/>
          <w:numId w:val="8"/>
        </w:numPr>
        <w:tabs>
          <w:tab w:val="clear" w:pos="708"/>
          <w:tab w:val="left" w:pos="400" w:leader="none"/>
        </w:tabs>
        <w:spacing w:lineRule="auto" w:line="276" w:before="6" w:after="6"/>
        <w:ind w:hanging="400" w:left="400"/>
        <w:jc w:val="both"/>
        <w:rPr/>
      </w:pPr>
      <w:r>
        <w:rPr>
          <w:rFonts w:cs="Arial" w:ascii="Cambria" w:hAnsi="Cambria"/>
          <w:sz w:val="22"/>
          <w:szCs w:val="22"/>
        </w:rPr>
        <w:t>Odwołanie wobec treści ogłoszenia wszczynającego postępowanie o udzielenie zamówienia lub wobec treści dokumentów zamówienia wnosi się w terminie 5 dni od dnia zamieszczenia ogłoszenia w Biuletynie Zamówień Publicznych lub dokumentów zamówienia na stronie internetowej, w przypadku zamówień, których wartość jest mniejsza niż progi unijne.</w:t>
      </w:r>
    </w:p>
    <w:p>
      <w:pPr>
        <w:pStyle w:val="Normal"/>
        <w:numPr>
          <w:ilvl w:val="3"/>
          <w:numId w:val="8"/>
        </w:numPr>
        <w:tabs>
          <w:tab w:val="clear" w:pos="708"/>
          <w:tab w:val="left" w:pos="400" w:leader="none"/>
        </w:tabs>
        <w:spacing w:lineRule="auto" w:line="276" w:before="6" w:after="6"/>
        <w:ind w:hanging="400" w:left="400"/>
        <w:jc w:val="both"/>
        <w:rPr>
          <w:rFonts w:ascii="Cambria" w:hAnsi="Cambria" w:cs="Arial"/>
          <w:sz w:val="22"/>
          <w:szCs w:val="22"/>
        </w:rPr>
      </w:pPr>
      <w:r>
        <w:rPr>
          <w:rFonts w:cs="Arial" w:ascii="Cambria" w:hAnsi="Cambria"/>
          <w:sz w:val="22"/>
          <w:szCs w:val="22"/>
        </w:rPr>
        <w:t>Odwołanie w przypadkach innych niż określone w ust. 6 i 7 wnosi się w terminie 5 dni od dnia, w którym powzięto lub przy zachowaniu należytej staranności można było powziąć wiadomość o okolicznościach stanowiących podstawę jego wniesienia.</w:t>
      </w:r>
    </w:p>
    <w:p>
      <w:pPr>
        <w:pStyle w:val="Normal"/>
        <w:numPr>
          <w:ilvl w:val="0"/>
          <w:numId w:val="0"/>
        </w:numPr>
        <w:tabs>
          <w:tab w:val="clear" w:pos="708"/>
          <w:tab w:val="left" w:pos="400" w:leader="none"/>
        </w:tabs>
        <w:spacing w:lineRule="auto" w:line="276" w:before="6" w:after="6"/>
        <w:ind w:hanging="0" w:left="400"/>
        <w:jc w:val="both"/>
        <w:rPr>
          <w:rFonts w:ascii="Cambria" w:hAnsi="Cambria" w:cs="Arial"/>
          <w:sz w:val="22"/>
          <w:szCs w:val="22"/>
        </w:rPr>
      </w:pPr>
      <w:r>
        <w:rPr>
          <w:rFonts w:cs="Arial" w:ascii="Cambria" w:hAnsi="Cambria"/>
          <w:sz w:val="22"/>
          <w:szCs w:val="22"/>
        </w:rPr>
      </w:r>
    </w:p>
    <w:p>
      <w:pPr>
        <w:pStyle w:val="Normal"/>
        <w:numPr>
          <w:ilvl w:val="0"/>
          <w:numId w:val="1"/>
        </w:numPr>
        <w:tabs>
          <w:tab w:val="clear" w:pos="708"/>
          <w:tab w:val="left" w:pos="464" w:leader="none"/>
        </w:tabs>
        <w:spacing w:lineRule="auto" w:line="276" w:before="0" w:after="120"/>
        <w:jc w:val="both"/>
        <w:rPr/>
      </w:pPr>
      <w:r>
        <w:rPr>
          <w:rFonts w:cs="Arial" w:ascii="Cambria" w:hAnsi="Cambria"/>
          <w:b/>
          <w:sz w:val="22"/>
          <w:szCs w:val="22"/>
        </w:rPr>
        <w:t xml:space="preserve"> </w:t>
      </w:r>
      <w:r>
        <w:rPr>
          <w:rFonts w:cs="Arial" w:ascii="Cambria" w:hAnsi="Cambria"/>
          <w:b/>
          <w:sz w:val="22"/>
          <w:szCs w:val="22"/>
        </w:rPr>
        <w:t>OBOWIĄZKI W ZAKRESIE PRZETWARZANIA DANYCH OSOBOWYCH ZGODNIE Z RODO (dotyczy wykonawców będących osobami fizycznymi)</w:t>
      </w:r>
    </w:p>
    <w:p>
      <w:pPr>
        <w:pStyle w:val="Normal"/>
        <w:numPr>
          <w:ilvl w:val="0"/>
          <w:numId w:val="10"/>
        </w:numPr>
        <w:tabs>
          <w:tab w:val="clear" w:pos="708"/>
          <w:tab w:val="left" w:pos="360" w:leader="none"/>
        </w:tabs>
        <w:suppressAutoHyphens w:val="false"/>
        <w:spacing w:lineRule="auto" w:line="276" w:before="120" w:after="120"/>
        <w:jc w:val="both"/>
        <w:rPr/>
      </w:pPr>
      <w:r>
        <w:rPr>
          <w:rFonts w:cs="Arial" w:ascii="Cambria" w:hAnsi="Cambria"/>
          <w:sz w:val="22"/>
          <w:szCs w:val="22"/>
        </w:rPr>
        <w:t xml:space="preserve">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Zamawiający informuje, że: </w:t>
      </w:r>
    </w:p>
    <w:p>
      <w:pPr>
        <w:pStyle w:val="Normal"/>
        <w:numPr>
          <w:ilvl w:val="0"/>
          <w:numId w:val="9"/>
        </w:numPr>
        <w:suppressAutoHyphens w:val="false"/>
        <w:spacing w:lineRule="auto" w:line="276" w:before="120" w:after="120"/>
        <w:contextualSpacing/>
        <w:jc w:val="both"/>
        <w:rPr/>
      </w:pPr>
      <w:r>
        <w:rPr>
          <w:rFonts w:cs="Arial" w:ascii="Cambria" w:hAnsi="Cambria"/>
          <w:sz w:val="22"/>
          <w:szCs w:val="22"/>
        </w:rPr>
        <w:t>administratorem Pani/Pana danych osobowych jest Zamawiający;</w:t>
      </w:r>
    </w:p>
    <w:p>
      <w:pPr>
        <w:pStyle w:val="Normal"/>
        <w:numPr>
          <w:ilvl w:val="0"/>
          <w:numId w:val="9"/>
        </w:numPr>
        <w:suppressAutoHyphens w:val="false"/>
        <w:spacing w:lineRule="auto" w:line="276" w:before="120" w:after="120"/>
        <w:contextualSpacing/>
        <w:jc w:val="both"/>
        <w:rPr/>
      </w:pPr>
      <w:r>
        <w:rPr>
          <w:rFonts w:cs="Arial" w:ascii="Cambria" w:hAnsi="Cambria"/>
          <w:sz w:val="22"/>
          <w:szCs w:val="22"/>
        </w:rPr>
        <w:t xml:space="preserve">inspektorem ochrony danych osobowych adres Pan Paweł Chochół Urząd Miasta i Gminy w Skale, 32-043 Skała, Rynek 29, pocztą elektroniczną na adres e-mail: </w:t>
      </w:r>
      <w:hyperlink r:id="rId8">
        <w:r>
          <w:rPr>
            <w:rStyle w:val="Hyperlink"/>
            <w:rFonts w:cs="Arial" w:ascii="Cambria" w:hAnsi="Cambria"/>
            <w:sz w:val="22"/>
            <w:szCs w:val="22"/>
          </w:rPr>
          <w:t>pchochol.priv@gmail.com</w:t>
        </w:r>
      </w:hyperlink>
      <w:r>
        <w:rPr>
          <w:rFonts w:cs="Arial" w:ascii="Cambria" w:hAnsi="Cambria"/>
          <w:sz w:val="22"/>
          <w:szCs w:val="22"/>
        </w:rPr>
        <w:t>;</w:t>
      </w:r>
    </w:p>
    <w:p>
      <w:pPr>
        <w:pStyle w:val="Normal"/>
        <w:numPr>
          <w:ilvl w:val="0"/>
          <w:numId w:val="9"/>
        </w:numPr>
        <w:suppressAutoHyphens w:val="false"/>
        <w:spacing w:lineRule="auto" w:line="276" w:before="120" w:after="120"/>
        <w:contextualSpacing/>
        <w:jc w:val="both"/>
        <w:rPr/>
      </w:pPr>
      <w:r>
        <w:rPr>
          <w:rFonts w:cs="Arial" w:ascii="Cambria" w:hAnsi="Cambria"/>
          <w:sz w:val="22"/>
          <w:szCs w:val="22"/>
        </w:rPr>
        <w:t xml:space="preserve">Pani/Pana dane osobowe przetwarzane będą na podstawie art. 6 ust. 1 lit. c RODO w celu związanym z przedmiotowym postępowaniem o udzielenie zamówienia publicznego </w:t>
      </w:r>
    </w:p>
    <w:p>
      <w:pPr>
        <w:pStyle w:val="Normal"/>
        <w:numPr>
          <w:ilvl w:val="0"/>
          <w:numId w:val="9"/>
        </w:numPr>
        <w:suppressAutoHyphens w:val="false"/>
        <w:spacing w:lineRule="auto" w:line="276" w:before="120" w:after="120"/>
        <w:contextualSpacing/>
        <w:jc w:val="both"/>
        <w:rPr/>
      </w:pPr>
      <w:r>
        <w:rPr>
          <w:rFonts w:cs="Arial" w:ascii="Cambria" w:hAnsi="Cambria"/>
          <w:sz w:val="22"/>
          <w:szCs w:val="22"/>
        </w:rPr>
        <w:t>Dane osobowe i kategorie Państwa danych osobowych przetwarzane na potrzeby postępowania wynikają bezpośrednio z SWZ, Zamawiający przetwarza w szczególności imię, nazwisko, dane teleadresowe, informacje o kwalifikacjach i doświadczeniu zawodowym, dane zawarte w rejestrach publicznych (KRS, CEIDG);</w:t>
      </w:r>
    </w:p>
    <w:p>
      <w:pPr>
        <w:pStyle w:val="Normal"/>
        <w:numPr>
          <w:ilvl w:val="0"/>
          <w:numId w:val="9"/>
        </w:numPr>
        <w:suppressAutoHyphens w:val="false"/>
        <w:spacing w:lineRule="auto" w:line="276" w:before="120" w:after="120"/>
        <w:contextualSpacing/>
        <w:jc w:val="both"/>
        <w:rPr/>
      </w:pPr>
      <w:r>
        <w:rPr>
          <w:rFonts w:cs="Arial" w:ascii="Cambria" w:hAnsi="Cambria"/>
          <w:sz w:val="22"/>
          <w:szCs w:val="22"/>
        </w:rPr>
        <w:t>Odbiorcami Państwa danych osobowych będą osoby lub podmioty, którym udostępniona zostanie dokumentacja postępowania w oparciu o art. 19 p.z.p.; a także podmioty przetwarzające działające na zlecenie Zamawiającego (np. dostawcy usług IT, kancelarie prawne) oraz pracownicy i współpracownicy Zamawiającego;</w:t>
      </w:r>
    </w:p>
    <w:p>
      <w:pPr>
        <w:pStyle w:val="Normal"/>
        <w:numPr>
          <w:ilvl w:val="0"/>
          <w:numId w:val="9"/>
        </w:numPr>
        <w:suppressAutoHyphens w:val="false"/>
        <w:spacing w:lineRule="auto" w:line="276" w:before="120" w:after="120"/>
        <w:contextualSpacing/>
        <w:jc w:val="both"/>
        <w:rPr/>
      </w:pPr>
      <w:r>
        <w:rPr>
          <w:rFonts w:cs="Arial" w:ascii="Cambria" w:hAnsi="Cambria"/>
          <w:sz w:val="22"/>
          <w:szCs w:val="22"/>
        </w:rPr>
        <w:t>Państwa dane osobowe będą przechowywane, zgodnie z art. 78 ust. 1 p.z.p., przez okres 4 lat od dnia zakończenia postępowania o udzielenie zamówienia, a jeżeli czas trwania umowy przekracza 4 lata, przez odpowiednio dłuższy okres;</w:t>
      </w:r>
    </w:p>
    <w:p>
      <w:pPr>
        <w:pStyle w:val="Normal"/>
        <w:numPr>
          <w:ilvl w:val="0"/>
          <w:numId w:val="9"/>
        </w:numPr>
        <w:suppressAutoHyphens w:val="false"/>
        <w:spacing w:lineRule="auto" w:line="276" w:before="120" w:after="120"/>
        <w:contextualSpacing/>
        <w:jc w:val="both"/>
        <w:rPr/>
      </w:pPr>
      <w:r>
        <w:rPr>
          <w:rFonts w:cs="Arial" w:ascii="Cambria" w:hAnsi="Cambria"/>
          <w:sz w:val="22"/>
          <w:szCs w:val="22"/>
        </w:rPr>
        <w:t xml:space="preserve">obowiązek podania danych osobowych bezpośrednio Państwa dotyczących jest wymogiem ustawowym określonym w przepisach p.z.p., związanym z udziałem w postępowaniu o udzielenie zamówienia publicznego; konsekwencje niepodania określonych danych wynikają z p.z.p.;  </w:t>
      </w:r>
    </w:p>
    <w:p>
      <w:pPr>
        <w:pStyle w:val="Normal"/>
        <w:numPr>
          <w:ilvl w:val="0"/>
          <w:numId w:val="9"/>
        </w:numPr>
        <w:suppressAutoHyphens w:val="false"/>
        <w:spacing w:lineRule="auto" w:line="276" w:before="120" w:after="120"/>
        <w:contextualSpacing/>
        <w:jc w:val="both"/>
        <w:rPr/>
      </w:pPr>
      <w:r>
        <w:rPr>
          <w:rFonts w:cs="Arial" w:ascii="Cambria" w:hAnsi="Cambria"/>
          <w:sz w:val="22"/>
          <w:szCs w:val="22"/>
        </w:rPr>
        <w:t>w odniesieniu do Państwa danych osobowych decyzje nie będą podejmowane w sposób zautomatyzowany, stosowanie do art. 22 RODO;</w:t>
      </w:r>
    </w:p>
    <w:p>
      <w:pPr>
        <w:pStyle w:val="Normal"/>
        <w:numPr>
          <w:ilvl w:val="0"/>
          <w:numId w:val="9"/>
        </w:numPr>
        <w:suppressAutoHyphens w:val="false"/>
        <w:spacing w:lineRule="auto" w:line="276" w:before="120" w:after="120"/>
        <w:contextualSpacing/>
        <w:jc w:val="both"/>
        <w:rPr/>
      </w:pPr>
      <w:r>
        <w:rPr>
          <w:rFonts w:cs="Arial" w:ascii="Cambria" w:hAnsi="Cambria"/>
          <w:sz w:val="22"/>
          <w:szCs w:val="22"/>
        </w:rPr>
        <w:t>posiadają Państwo:</w:t>
      </w:r>
    </w:p>
    <w:p>
      <w:pPr>
        <w:pStyle w:val="Akapitzlist1"/>
        <w:shd w:val="clear" w:color="auto" w:fill="FFFFFF"/>
        <w:spacing w:lineRule="auto" w:line="276" w:before="120" w:after="120"/>
        <w:ind w:left="1158"/>
        <w:contextualSpacing/>
        <w:jc w:val="both"/>
        <w:rPr/>
      </w:pPr>
      <w:r>
        <w:rPr>
          <w:rFonts w:cs="Arial" w:ascii="Cambria" w:hAnsi="Cambria"/>
          <w:color w:val="auto"/>
          <w:sz w:val="22"/>
          <w:szCs w:val="22"/>
        </w:rPr>
        <w:t>•</w:t>
      </w:r>
      <w:r>
        <w:rPr>
          <w:rFonts w:cs="Arial" w:ascii="Cambria" w:hAnsi="Cambria"/>
          <w:color w:val="auto"/>
          <w:sz w:val="22"/>
          <w:szCs w:val="22"/>
        </w:rPr>
        <w:tab/>
        <w:t>na podstawie art. 15 RODO prawo dostępu do danych osobowych Państwa dotyczących;</w:t>
      </w:r>
    </w:p>
    <w:p>
      <w:pPr>
        <w:pStyle w:val="Akapitzlist1"/>
        <w:shd w:val="clear" w:color="auto" w:fill="FFFFFF"/>
        <w:spacing w:lineRule="auto" w:line="276" w:before="120" w:after="120"/>
        <w:ind w:left="1158"/>
        <w:contextualSpacing/>
        <w:jc w:val="both"/>
        <w:rPr/>
      </w:pPr>
      <w:r>
        <w:rPr>
          <w:rFonts w:cs="Arial" w:ascii="Cambria" w:hAnsi="Cambria"/>
          <w:color w:val="auto"/>
          <w:sz w:val="22"/>
          <w:szCs w:val="22"/>
        </w:rPr>
        <w:t>•</w:t>
      </w:r>
      <w:r>
        <w:rPr>
          <w:rFonts w:cs="Arial" w:ascii="Cambria" w:hAnsi="Cambria"/>
          <w:color w:val="auto"/>
          <w:sz w:val="22"/>
          <w:szCs w:val="22"/>
        </w:rPr>
        <w:tab/>
        <w:t xml:space="preserve">na podstawie art. 16 RODO prawo do sprostowania Państwa danych osobowych;  </w:t>
      </w:r>
    </w:p>
    <w:p>
      <w:pPr>
        <w:pStyle w:val="Akapitzlist1"/>
        <w:shd w:val="clear" w:color="auto" w:fill="FFFFFF"/>
        <w:spacing w:lineRule="auto" w:line="276" w:before="120" w:after="120"/>
        <w:ind w:left="1158"/>
        <w:contextualSpacing/>
        <w:jc w:val="both"/>
        <w:rPr/>
      </w:pPr>
      <w:r>
        <w:rPr>
          <w:rFonts w:cs="Arial" w:ascii="Cambria" w:hAnsi="Cambria"/>
          <w:color w:val="auto"/>
          <w:sz w:val="22"/>
          <w:szCs w:val="22"/>
        </w:rPr>
        <w:t>•</w:t>
      </w:r>
      <w:r>
        <w:rPr>
          <w:rFonts w:cs="Arial" w:ascii="Cambria" w:hAnsi="Cambria"/>
          <w:color w:val="auto"/>
          <w:sz w:val="22"/>
          <w:szCs w:val="22"/>
        </w:rPr>
        <w:tab/>
        <w:t xml:space="preserve">na podstawie art. 18 RODO prawo żądania od administratora ograniczenia przetwarzania danych osobowych z zastrzeżeniem przypadków, o których mowa w art. 18 ust. 2 RODO; </w:t>
      </w:r>
    </w:p>
    <w:p>
      <w:pPr>
        <w:pStyle w:val="Akapitzlist1"/>
        <w:shd w:val="clear" w:color="auto" w:fill="FFFFFF"/>
        <w:spacing w:lineRule="auto" w:line="276" w:before="120" w:after="120"/>
        <w:ind w:left="1158"/>
        <w:contextualSpacing/>
        <w:jc w:val="both"/>
        <w:rPr/>
      </w:pPr>
      <w:r>
        <w:rPr>
          <w:rFonts w:cs="Arial" w:ascii="Cambria" w:hAnsi="Cambria"/>
          <w:color w:val="auto"/>
          <w:sz w:val="22"/>
          <w:szCs w:val="22"/>
        </w:rPr>
        <w:t>•</w:t>
      </w:r>
      <w:r>
        <w:rPr>
          <w:rFonts w:cs="Arial" w:ascii="Cambria" w:hAnsi="Cambria"/>
          <w:color w:val="auto"/>
          <w:sz w:val="22"/>
          <w:szCs w:val="22"/>
        </w:rPr>
        <w:tab/>
        <w:t>prawo do wniesienia skargi do Prezesa Urzędu Ochrony Danych Osobowych, gdy uznają Państwo, że przetwarzanie danych osobowych Państwa dotyczących narusza przepisy RODO;</w:t>
      </w:r>
    </w:p>
    <w:p>
      <w:pPr>
        <w:pStyle w:val="Normal"/>
        <w:numPr>
          <w:ilvl w:val="0"/>
          <w:numId w:val="9"/>
        </w:numPr>
        <w:suppressAutoHyphens w:val="false"/>
        <w:spacing w:lineRule="auto" w:line="276" w:before="120" w:after="120"/>
        <w:contextualSpacing/>
        <w:jc w:val="both"/>
        <w:rPr/>
      </w:pPr>
      <w:r>
        <w:rPr>
          <w:rFonts w:cs="Arial" w:ascii="Cambria" w:hAnsi="Cambria"/>
          <w:sz w:val="22"/>
          <w:szCs w:val="22"/>
        </w:rPr>
        <w:t>nie przysługuje Państwu:</w:t>
      </w:r>
    </w:p>
    <w:p>
      <w:pPr>
        <w:pStyle w:val="Akapitzlist1"/>
        <w:shd w:val="clear" w:color="auto" w:fill="FFFFFF"/>
        <w:spacing w:lineRule="auto" w:line="276" w:before="120" w:after="120"/>
        <w:ind w:left="1158"/>
        <w:contextualSpacing/>
        <w:jc w:val="both"/>
        <w:rPr/>
      </w:pPr>
      <w:r>
        <w:rPr>
          <w:rFonts w:cs="Arial" w:ascii="Cambria" w:hAnsi="Cambria"/>
          <w:color w:val="auto"/>
          <w:sz w:val="22"/>
          <w:szCs w:val="22"/>
        </w:rPr>
        <w:t>•</w:t>
      </w:r>
      <w:r>
        <w:rPr>
          <w:rFonts w:cs="Arial" w:ascii="Cambria" w:hAnsi="Cambria"/>
          <w:color w:val="auto"/>
          <w:sz w:val="22"/>
          <w:szCs w:val="22"/>
        </w:rPr>
        <w:tab/>
        <w:t>w związku z art. 17 ust. 3 lit. b, d lub e RODO prawo do usunięcia danych osobowych;</w:t>
      </w:r>
    </w:p>
    <w:p>
      <w:pPr>
        <w:pStyle w:val="Akapitzlist1"/>
        <w:shd w:val="clear" w:color="auto" w:fill="FFFFFF"/>
        <w:spacing w:lineRule="auto" w:line="276" w:before="120" w:after="120"/>
        <w:ind w:left="1158"/>
        <w:contextualSpacing/>
        <w:jc w:val="both"/>
        <w:rPr/>
      </w:pPr>
      <w:r>
        <w:rPr>
          <w:rFonts w:cs="Arial" w:ascii="Cambria" w:hAnsi="Cambria"/>
          <w:color w:val="auto"/>
          <w:sz w:val="22"/>
          <w:szCs w:val="22"/>
        </w:rPr>
        <w:t>•</w:t>
      </w:r>
      <w:r>
        <w:rPr>
          <w:rFonts w:cs="Arial" w:ascii="Cambria" w:hAnsi="Cambria"/>
          <w:color w:val="auto"/>
          <w:sz w:val="22"/>
          <w:szCs w:val="22"/>
        </w:rPr>
        <w:tab/>
        <w:t>prawo do przenoszenia danych osobowych, o którym mowa w art. 20 RODO;</w:t>
      </w:r>
    </w:p>
    <w:p>
      <w:pPr>
        <w:pStyle w:val="Akapitzlist1"/>
        <w:shd w:val="clear" w:color="auto" w:fill="FFFFFF"/>
        <w:spacing w:lineRule="auto" w:line="276" w:before="120" w:after="120"/>
        <w:ind w:left="1158"/>
        <w:contextualSpacing/>
        <w:jc w:val="both"/>
        <w:rPr/>
      </w:pPr>
      <w:r>
        <w:rPr>
          <w:rFonts w:cs="Arial" w:ascii="Cambria" w:hAnsi="Cambria"/>
          <w:color w:val="auto"/>
          <w:sz w:val="22"/>
          <w:szCs w:val="22"/>
        </w:rPr>
        <w:t>•</w:t>
      </w:r>
      <w:r>
        <w:rPr>
          <w:rFonts w:cs="Arial" w:ascii="Cambria" w:hAnsi="Cambria"/>
          <w:color w:val="auto"/>
          <w:sz w:val="22"/>
          <w:szCs w:val="22"/>
        </w:rPr>
        <w:tab/>
        <w:t>na podstawie art. 21 RODO prawo sprzeciwu, wobec przetwarzania danych osobowych, gdyż podstawą prawną przetwarzania Państwa danych osobowych jest art. 6 ust. 1 lit. c RODO.</w:t>
      </w:r>
    </w:p>
    <w:p>
      <w:pPr>
        <w:pStyle w:val="Normal"/>
        <w:numPr>
          <w:ilvl w:val="0"/>
          <w:numId w:val="9"/>
        </w:numPr>
        <w:suppressAutoHyphens w:val="false"/>
        <w:spacing w:lineRule="auto" w:line="276" w:before="120" w:after="120"/>
        <w:contextualSpacing/>
        <w:jc w:val="both"/>
        <w:rPr/>
      </w:pPr>
      <w:r>
        <w:rPr>
          <w:rFonts w:cs="Arial" w:ascii="Cambria" w:hAnsi="Cambria"/>
          <w:sz w:val="22"/>
          <w:szCs w:val="22"/>
        </w:rPr>
        <w:t>Zamawiający udostępnia dane osobowe, o których mowa w art. 10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z późn. zm.), zwanego dalej "rozporządzeniem 2016/679", w celu umożliwienia korzystania ze środków ochrony prawnej, o których mowa w dziale XIII, do upływu terminu do ich wniesienia.</w:t>
      </w:r>
    </w:p>
    <w:p>
      <w:pPr>
        <w:pStyle w:val="Normal"/>
        <w:numPr>
          <w:ilvl w:val="0"/>
          <w:numId w:val="10"/>
        </w:numPr>
        <w:tabs>
          <w:tab w:val="clear" w:pos="708"/>
          <w:tab w:val="left" w:pos="360" w:leader="none"/>
        </w:tabs>
        <w:suppressAutoHyphens w:val="false"/>
        <w:spacing w:lineRule="auto" w:line="276" w:before="120" w:after="120"/>
        <w:jc w:val="both"/>
        <w:rPr/>
      </w:pPr>
      <w:r>
        <w:rPr>
          <w:rFonts w:cs="Arial" w:ascii="Cambria" w:hAnsi="Cambria"/>
          <w:sz w:val="22"/>
          <w:szCs w:val="22"/>
        </w:rPr>
        <w:t>Zamawiający wykonuje obowiązki informacyjne dotyczące przetwarzania danych osobowych oraz obowiązki zapewnienia dostępu do przetwarzanych danych osobowych zgodnie z art. 19 p.z.p.</w:t>
      </w:r>
    </w:p>
    <w:p>
      <w:pPr>
        <w:pStyle w:val="Normal"/>
        <w:numPr>
          <w:ilvl w:val="0"/>
          <w:numId w:val="10"/>
        </w:numPr>
        <w:tabs>
          <w:tab w:val="clear" w:pos="708"/>
          <w:tab w:val="left" w:pos="360" w:leader="none"/>
        </w:tabs>
        <w:suppressAutoHyphens w:val="false"/>
        <w:spacing w:lineRule="auto" w:line="276" w:before="120" w:after="120"/>
        <w:jc w:val="both"/>
        <w:rPr>
          <w:rFonts w:ascii="Cambria" w:hAnsi="Cambria" w:cs="Arial"/>
          <w:sz w:val="22"/>
          <w:szCs w:val="22"/>
        </w:rPr>
      </w:pPr>
      <w:r>
        <w:rPr>
          <w:rFonts w:cs="Arial" w:ascii="Cambria" w:hAnsi="Cambria"/>
          <w:sz w:val="22"/>
          <w:szCs w:val="22"/>
        </w:rPr>
        <w:t>Zamawiający informuje o ograniczeniach stosowania przepisów rozporządzenia 2016/679: Skorzystanie przez osobę, której dane osobowe dotyczą, z uprawnienia do sprostowania lub uzupełnienia, o którym mowa w art. 16 rozporządzenia 2016/679, nie może skutkować zmianą wyniku postępowania o udzielenie zamówienia ani zmianą postanowień umowy w sprawie zamówienia publicznego w zakresie niezgodnym z ustawą. W postępowaniu o udzielenie zamówienia zgłoszenie żądania ograniczenia przetwarzania, o którym mowa w art. 18 ust. 1 rozporządzenia 2016/679, nie ogranicza przetwarzania danych osobowych do czasu zakończenia tego postępowania.</w:t>
      </w:r>
    </w:p>
    <w:p>
      <w:pPr>
        <w:pStyle w:val="Normal"/>
        <w:numPr>
          <w:ilvl w:val="0"/>
          <w:numId w:val="0"/>
        </w:numPr>
        <w:tabs>
          <w:tab w:val="clear" w:pos="708"/>
          <w:tab w:val="left" w:pos="360" w:leader="none"/>
        </w:tabs>
        <w:suppressAutoHyphens w:val="false"/>
        <w:spacing w:lineRule="auto" w:line="276" w:before="120" w:after="120"/>
        <w:ind w:hanging="0" w:left="360"/>
        <w:jc w:val="both"/>
        <w:rPr>
          <w:rFonts w:ascii="Cambria" w:hAnsi="Cambria" w:cs="Arial"/>
          <w:sz w:val="22"/>
          <w:szCs w:val="22"/>
        </w:rPr>
      </w:pPr>
      <w:r>
        <w:rPr>
          <w:rFonts w:cs="Arial" w:ascii="Cambria" w:hAnsi="Cambria"/>
          <w:sz w:val="22"/>
          <w:szCs w:val="22"/>
        </w:rPr>
      </w:r>
    </w:p>
    <w:p>
      <w:pPr>
        <w:pStyle w:val="Normal"/>
        <w:numPr>
          <w:ilvl w:val="0"/>
          <w:numId w:val="1"/>
        </w:numPr>
        <w:tabs>
          <w:tab w:val="clear" w:pos="708"/>
          <w:tab w:val="left" w:pos="464" w:leader="none"/>
        </w:tabs>
        <w:spacing w:lineRule="auto" w:line="276" w:before="120" w:after="120"/>
        <w:jc w:val="both"/>
        <w:rPr/>
      </w:pPr>
      <w:r>
        <w:rPr>
          <w:rFonts w:cs="Arial" w:ascii="Cambria" w:hAnsi="Cambria"/>
          <w:b/>
          <w:sz w:val="22"/>
          <w:szCs w:val="22"/>
        </w:rPr>
        <w:t>Załączniki do SWZ</w:t>
      </w:r>
    </w:p>
    <w:p>
      <w:pPr>
        <w:pStyle w:val="Normal"/>
        <w:numPr>
          <w:ilvl w:val="0"/>
          <w:numId w:val="20"/>
        </w:numPr>
        <w:spacing w:lineRule="auto" w:line="276"/>
        <w:ind w:hanging="0" w:left="0"/>
        <w:rPr/>
      </w:pPr>
      <w:r>
        <w:rPr>
          <w:rFonts w:ascii="Cambria" w:hAnsi="Cambria"/>
          <w:sz w:val="22"/>
          <w:szCs w:val="22"/>
        </w:rPr>
        <w:t>Załącznik nr 1 do SWZ - Formularz ofertowy</w:t>
      </w:r>
    </w:p>
    <w:p>
      <w:pPr>
        <w:pStyle w:val="Normal"/>
        <w:numPr>
          <w:ilvl w:val="0"/>
          <w:numId w:val="20"/>
        </w:numPr>
        <w:spacing w:lineRule="auto" w:line="276"/>
        <w:ind w:hanging="0" w:left="0"/>
        <w:rPr/>
      </w:pPr>
      <w:r>
        <w:rPr>
          <w:rFonts w:ascii="Cambria" w:hAnsi="Cambria"/>
          <w:sz w:val="22"/>
          <w:szCs w:val="22"/>
        </w:rPr>
        <w:t xml:space="preserve">Załącznik nr 2 do SWZ - Oświadczenie Wykonawcy o spełnieniu warunków udziału w postępowaniu </w:t>
      </w:r>
    </w:p>
    <w:p>
      <w:pPr>
        <w:pStyle w:val="Normal"/>
        <w:numPr>
          <w:ilvl w:val="0"/>
          <w:numId w:val="20"/>
        </w:numPr>
        <w:spacing w:lineRule="auto" w:line="276"/>
        <w:ind w:hanging="0" w:left="0"/>
        <w:rPr/>
      </w:pPr>
      <w:r>
        <w:rPr>
          <w:rFonts w:ascii="Cambria" w:hAnsi="Cambria"/>
          <w:sz w:val="22"/>
          <w:szCs w:val="22"/>
        </w:rPr>
        <w:t>Załącznik nr 3 do SWZ - Oświadczenie Wykonawcy o braku podstaw do wykluczenia</w:t>
      </w:r>
    </w:p>
    <w:p>
      <w:pPr>
        <w:pStyle w:val="Normal"/>
        <w:numPr>
          <w:ilvl w:val="0"/>
          <w:numId w:val="20"/>
        </w:numPr>
        <w:spacing w:lineRule="auto" w:line="276"/>
        <w:ind w:hanging="0" w:left="0"/>
        <w:rPr/>
      </w:pPr>
      <w:r>
        <w:rPr>
          <w:rFonts w:ascii="Cambria" w:hAnsi="Cambria"/>
          <w:sz w:val="22"/>
          <w:szCs w:val="22"/>
        </w:rPr>
        <w:t>Załącznik nr 3a do SWZ - Oświadczenie podmiotu udostępniającego zasoby</w:t>
      </w:r>
    </w:p>
    <w:p>
      <w:pPr>
        <w:pStyle w:val="Normal"/>
        <w:numPr>
          <w:ilvl w:val="0"/>
          <w:numId w:val="20"/>
        </w:numPr>
        <w:spacing w:lineRule="auto" w:line="276"/>
        <w:ind w:hanging="0" w:left="0"/>
        <w:rPr/>
      </w:pPr>
      <w:r>
        <w:rPr>
          <w:rFonts w:ascii="Cambria" w:hAnsi="Cambria"/>
          <w:sz w:val="22"/>
          <w:szCs w:val="22"/>
        </w:rPr>
        <w:t xml:space="preserve">Załącznik nr 4 do SWZ - Wykaz zrealizowanych robót </w:t>
      </w:r>
    </w:p>
    <w:p>
      <w:pPr>
        <w:pStyle w:val="Normal"/>
        <w:numPr>
          <w:ilvl w:val="0"/>
          <w:numId w:val="20"/>
        </w:numPr>
        <w:spacing w:lineRule="auto" w:line="276"/>
        <w:ind w:hanging="0" w:left="0"/>
        <w:rPr/>
      </w:pPr>
      <w:r>
        <w:rPr>
          <w:rFonts w:ascii="Cambria" w:hAnsi="Cambria"/>
          <w:sz w:val="22"/>
          <w:szCs w:val="22"/>
        </w:rPr>
        <w:t>Załącznik nr 5 do SWZ - Wykaz osób</w:t>
      </w:r>
    </w:p>
    <w:p>
      <w:pPr>
        <w:pStyle w:val="Normal"/>
        <w:numPr>
          <w:ilvl w:val="0"/>
          <w:numId w:val="20"/>
        </w:numPr>
        <w:spacing w:lineRule="auto" w:line="276"/>
        <w:ind w:hanging="0" w:left="0"/>
        <w:jc w:val="both"/>
        <w:rPr/>
      </w:pPr>
      <w:r>
        <w:rPr>
          <w:rFonts w:ascii="Cambria" w:hAnsi="Cambria"/>
          <w:sz w:val="22"/>
          <w:szCs w:val="22"/>
        </w:rPr>
        <w:t>Załącznik nr 6 do SWZ - Projektowane postanowienia umowy</w:t>
      </w:r>
    </w:p>
    <w:p>
      <w:pPr>
        <w:pStyle w:val="Normal"/>
        <w:numPr>
          <w:ilvl w:val="0"/>
          <w:numId w:val="20"/>
        </w:numPr>
        <w:spacing w:lineRule="auto" w:line="276"/>
        <w:ind w:hanging="0" w:left="0"/>
        <w:rPr/>
      </w:pPr>
      <w:r>
        <w:rPr>
          <w:rFonts w:ascii="Cambria" w:hAnsi="Cambria"/>
          <w:sz w:val="22"/>
          <w:szCs w:val="22"/>
        </w:rPr>
        <w:t>Załącznik nr 7 do SWZ – Dokumentacja techniczna</w:t>
      </w:r>
    </w:p>
    <w:p>
      <w:pPr>
        <w:pStyle w:val="Normal"/>
        <w:numPr>
          <w:ilvl w:val="0"/>
          <w:numId w:val="20"/>
        </w:numPr>
        <w:spacing w:lineRule="auto" w:line="276"/>
        <w:ind w:hanging="0" w:left="0"/>
        <w:rPr/>
      </w:pPr>
      <w:r>
        <w:rPr>
          <w:rFonts w:ascii="Cambria" w:hAnsi="Cambria"/>
          <w:sz w:val="22"/>
          <w:szCs w:val="22"/>
        </w:rPr>
        <w:t>Załącznik nr 8 do SWZ – Przedmiary robót</w:t>
      </w:r>
    </w:p>
    <w:p>
      <w:pPr>
        <w:pStyle w:val="Normal"/>
        <w:numPr>
          <w:ilvl w:val="0"/>
          <w:numId w:val="20"/>
        </w:numPr>
        <w:spacing w:lineRule="auto" w:line="276"/>
        <w:ind w:hanging="0" w:left="0"/>
        <w:rPr/>
      </w:pPr>
      <w:r>
        <w:rPr>
          <w:rFonts w:ascii="Cambria" w:hAnsi="Cambria"/>
          <w:sz w:val="22"/>
          <w:szCs w:val="22"/>
        </w:rPr>
        <w:t>Załącznik nr 9 do SWZ – Projekt przyłącza wodociągowego</w:t>
      </w:r>
    </w:p>
    <w:p>
      <w:pPr>
        <w:pStyle w:val="Normal"/>
        <w:numPr>
          <w:ilvl w:val="0"/>
          <w:numId w:val="20"/>
        </w:numPr>
        <w:spacing w:lineRule="auto" w:line="276"/>
        <w:ind w:hanging="0" w:left="0"/>
        <w:rPr/>
      </w:pPr>
      <w:r>
        <w:rPr>
          <w:rFonts w:ascii="Cambria" w:hAnsi="Cambria"/>
          <w:sz w:val="22"/>
          <w:szCs w:val="22"/>
        </w:rPr>
        <w:t>Załącznik nr 10 do SWZ – STWiOR</w:t>
      </w:r>
    </w:p>
    <w:p>
      <w:pPr>
        <w:pStyle w:val="Normal"/>
        <w:tabs>
          <w:tab w:val="clear" w:pos="708"/>
          <w:tab w:val="left" w:pos="792" w:leader="none"/>
          <w:tab w:val="left" w:pos="900" w:leader="none"/>
        </w:tabs>
        <w:spacing w:lineRule="auto" w:line="276"/>
        <w:ind w:firstLine="446" w:left="6372"/>
        <w:jc w:val="right"/>
        <w:rPr>
          <w:rFonts w:ascii="Cambria" w:hAnsi="Cambria"/>
          <w:i/>
          <w:i/>
          <w:iCs/>
          <w:sz w:val="22"/>
          <w:szCs w:val="22"/>
        </w:rPr>
      </w:pPr>
      <w:r>
        <w:rPr>
          <w:rFonts w:ascii="Cambria" w:hAnsi="Cambria"/>
          <w:i/>
          <w:iCs/>
          <w:sz w:val="22"/>
          <w:szCs w:val="22"/>
        </w:rPr>
      </w:r>
      <w:r>
        <w:br w:type="page"/>
      </w:r>
    </w:p>
    <w:p>
      <w:pPr>
        <w:pStyle w:val="Normal"/>
        <w:tabs>
          <w:tab w:val="clear" w:pos="708"/>
          <w:tab w:val="left" w:pos="792" w:leader="none"/>
          <w:tab w:val="left" w:pos="900" w:leader="none"/>
        </w:tabs>
        <w:spacing w:lineRule="auto" w:line="276" w:before="0" w:after="0"/>
        <w:ind w:firstLine="446" w:left="6372"/>
        <w:jc w:val="right"/>
        <w:rPr>
          <w:rFonts w:ascii="Cambria" w:hAnsi="Cambria"/>
          <w:i/>
          <w:i/>
          <w:iCs/>
          <w:sz w:val="22"/>
          <w:szCs w:val="22"/>
        </w:rPr>
      </w:pPr>
      <w:r>
        <w:rPr>
          <w:rFonts w:cs="Arial" w:ascii="Cambria" w:hAnsi="Cambria"/>
          <w:b/>
          <w:i/>
          <w:iCs/>
          <w:sz w:val="22"/>
          <w:szCs w:val="22"/>
        </w:rPr>
        <w:t xml:space="preserve">Załącznik nr 1 do SWZ </w:t>
      </w:r>
    </w:p>
    <w:p>
      <w:pPr>
        <w:pStyle w:val="Normal"/>
        <w:tabs>
          <w:tab w:val="clear" w:pos="708"/>
          <w:tab w:val="left" w:pos="792" w:leader="none"/>
          <w:tab w:val="left" w:pos="900" w:leader="none"/>
        </w:tabs>
        <w:spacing w:lineRule="auto" w:line="276"/>
        <w:ind w:firstLine="446" w:left="6372"/>
        <w:jc w:val="both"/>
        <w:rPr>
          <w:rFonts w:ascii="Cambria" w:hAnsi="Cambria" w:cs="Arial"/>
          <w:b/>
          <w:i/>
          <w:i/>
          <w:sz w:val="22"/>
          <w:szCs w:val="22"/>
        </w:rPr>
      </w:pPr>
      <w:r>
        <w:rPr>
          <w:rFonts w:cs="Arial" w:ascii="Cambria" w:hAnsi="Cambria"/>
          <w:b/>
          <w:i/>
          <w:sz w:val="22"/>
          <w:szCs w:val="22"/>
        </w:rPr>
      </w:r>
    </w:p>
    <w:p>
      <w:pPr>
        <w:pStyle w:val="Normal"/>
        <w:tabs>
          <w:tab w:val="clear" w:pos="708"/>
          <w:tab w:val="left" w:pos="792" w:leader="none"/>
          <w:tab w:val="left" w:pos="900" w:leader="none"/>
        </w:tabs>
        <w:spacing w:lineRule="auto" w:line="276"/>
        <w:ind w:firstLine="446" w:left="6372"/>
        <w:jc w:val="both"/>
        <w:rPr>
          <w:rFonts w:ascii="Cambria" w:hAnsi="Cambria" w:cs="Arial"/>
          <w:b/>
          <w:i/>
          <w:i/>
          <w:sz w:val="22"/>
          <w:szCs w:val="22"/>
        </w:rPr>
      </w:pPr>
      <w:r>
        <w:rPr>
          <w:rFonts w:cs="Arial" w:ascii="Cambria" w:hAnsi="Cambria"/>
          <w:b/>
          <w:i/>
          <w:sz w:val="22"/>
          <w:szCs w:val="22"/>
        </w:rPr>
      </w:r>
    </w:p>
    <w:p>
      <w:pPr>
        <w:pStyle w:val="Normal"/>
        <w:spacing w:lineRule="auto" w:line="276"/>
        <w:jc w:val="right"/>
        <w:rPr>
          <w:rFonts w:ascii="Cambria" w:hAnsi="Cambria"/>
          <w:sz w:val="22"/>
          <w:szCs w:val="22"/>
        </w:rPr>
      </w:pPr>
      <w:r>
        <w:rPr>
          <w:rFonts w:ascii="Cambria" w:hAnsi="Cambria"/>
          <w:sz w:val="22"/>
          <w:szCs w:val="22"/>
        </w:rPr>
        <w:t>dnia:……………………………..</w:t>
      </w:r>
    </w:p>
    <w:p>
      <w:pPr>
        <w:pStyle w:val="Normal"/>
        <w:spacing w:lineRule="auto" w:line="276"/>
        <w:jc w:val="both"/>
        <w:rPr>
          <w:rFonts w:ascii="Cambria" w:hAnsi="Cambria" w:cs="Arial"/>
          <w:sz w:val="22"/>
          <w:szCs w:val="22"/>
        </w:rPr>
      </w:pPr>
      <w:r>
        <w:rPr>
          <w:rFonts w:cs="Arial" w:ascii="Cambria" w:hAnsi="Cambria"/>
          <w:sz w:val="22"/>
          <w:szCs w:val="22"/>
        </w:rPr>
      </w:r>
    </w:p>
    <w:p>
      <w:pPr>
        <w:pStyle w:val="Normal"/>
        <w:tabs>
          <w:tab w:val="clear" w:pos="708"/>
          <w:tab w:val="center" w:pos="4536" w:leader="none"/>
          <w:tab w:val="left" w:pos="5973" w:leader="none"/>
        </w:tabs>
        <w:spacing w:lineRule="auto" w:line="276"/>
        <w:jc w:val="center"/>
        <w:rPr>
          <w:rFonts w:ascii="Cambria" w:hAnsi="Cambria"/>
          <w:sz w:val="22"/>
          <w:szCs w:val="22"/>
        </w:rPr>
      </w:pPr>
      <w:r>
        <w:rPr>
          <w:rFonts w:ascii="Cambria" w:hAnsi="Cambria"/>
          <w:b/>
          <w:bCs/>
          <w:sz w:val="22"/>
          <w:szCs w:val="22"/>
        </w:rPr>
        <w:t>FORMULARZ OFERTOWY</w:t>
      </w:r>
    </w:p>
    <w:p>
      <w:pPr>
        <w:pStyle w:val="Normal"/>
        <w:spacing w:lineRule="auto" w:line="276"/>
        <w:jc w:val="both"/>
        <w:rPr>
          <w:rFonts w:ascii="Cambria" w:hAnsi="Cambria"/>
          <w:sz w:val="22"/>
          <w:szCs w:val="22"/>
        </w:rPr>
      </w:pPr>
      <w:r>
        <w:rPr>
          <w:rFonts w:eastAsia="Courier New" w:ascii="Cambria" w:hAnsi="Cambria"/>
          <w:sz w:val="22"/>
          <w:szCs w:val="22"/>
        </w:rPr>
        <w:t>Dane wykonawcy:</w:t>
      </w:r>
    </w:p>
    <w:p>
      <w:pPr>
        <w:pStyle w:val="Normal"/>
        <w:spacing w:lineRule="auto" w:line="276"/>
        <w:jc w:val="both"/>
        <w:rPr>
          <w:rFonts w:ascii="Cambria" w:hAnsi="Cambria"/>
          <w:sz w:val="22"/>
          <w:szCs w:val="22"/>
        </w:rPr>
      </w:pPr>
      <w:r>
        <w:rPr>
          <w:rFonts w:eastAsia="Courier New" w:ascii="Cambria" w:hAnsi="Cambria"/>
          <w:sz w:val="22"/>
          <w:szCs w:val="22"/>
        </w:rPr>
        <w:t>Nazwa:.........................................................................................</w:t>
      </w:r>
    </w:p>
    <w:p>
      <w:pPr>
        <w:pStyle w:val="Normal"/>
        <w:spacing w:lineRule="auto" w:line="276"/>
        <w:jc w:val="both"/>
        <w:rPr>
          <w:rFonts w:ascii="Cambria" w:hAnsi="Cambria"/>
          <w:sz w:val="22"/>
          <w:szCs w:val="22"/>
        </w:rPr>
      </w:pPr>
      <w:r>
        <w:rPr>
          <w:rFonts w:eastAsia="Courier New" w:ascii="Cambria" w:hAnsi="Cambria"/>
          <w:sz w:val="22"/>
          <w:szCs w:val="22"/>
        </w:rPr>
        <w:t>Siedziba:......................................................................................</w:t>
        <w:br/>
        <w:t>Numer telefonu: ..........................................................................</w:t>
      </w:r>
    </w:p>
    <w:p>
      <w:pPr>
        <w:pStyle w:val="Normal"/>
        <w:spacing w:lineRule="auto" w:line="276"/>
        <w:jc w:val="both"/>
        <w:rPr>
          <w:rFonts w:ascii="Cambria" w:hAnsi="Cambria"/>
          <w:sz w:val="22"/>
          <w:szCs w:val="22"/>
        </w:rPr>
      </w:pPr>
      <w:r>
        <w:rPr>
          <w:rFonts w:eastAsia="Courier New" w:ascii="Cambria" w:hAnsi="Cambria"/>
          <w:sz w:val="22"/>
          <w:szCs w:val="22"/>
          <w:lang w:val="en-US"/>
        </w:rPr>
        <w:t xml:space="preserve">Adres e-mail: ............................................................................ </w:t>
      </w:r>
    </w:p>
    <w:p>
      <w:pPr>
        <w:pStyle w:val="Normal"/>
        <w:spacing w:lineRule="auto" w:line="276"/>
        <w:jc w:val="both"/>
        <w:rPr>
          <w:rFonts w:ascii="Cambria" w:hAnsi="Cambria"/>
          <w:sz w:val="22"/>
          <w:szCs w:val="22"/>
        </w:rPr>
      </w:pPr>
      <w:r>
        <w:rPr>
          <w:rFonts w:eastAsia="Courier New" w:ascii="Cambria" w:hAnsi="Cambria"/>
          <w:sz w:val="22"/>
          <w:szCs w:val="22"/>
          <w:lang w:val="en-US"/>
        </w:rPr>
        <w:t>Numer NIP: ................................................................................</w:t>
      </w:r>
    </w:p>
    <w:p>
      <w:pPr>
        <w:pStyle w:val="Normal"/>
        <w:spacing w:lineRule="auto" w:line="276"/>
        <w:ind w:left="5102"/>
        <w:jc w:val="center"/>
        <w:rPr/>
      </w:pPr>
      <w:r>
        <w:rPr>
          <w:rStyle w:val="FontStyle28"/>
          <w:rFonts w:cs="Times New Roman" w:ascii="Cambria" w:hAnsi="Cambria"/>
          <w:b/>
          <w:bCs/>
          <w:sz w:val="22"/>
          <w:szCs w:val="22"/>
        </w:rPr>
        <w:t xml:space="preserve">Gmina Skała, </w:t>
      </w:r>
    </w:p>
    <w:p>
      <w:pPr>
        <w:pStyle w:val="Normal"/>
        <w:spacing w:lineRule="auto" w:line="276"/>
        <w:ind w:left="5102"/>
        <w:jc w:val="center"/>
        <w:rPr/>
      </w:pPr>
      <w:r>
        <w:rPr>
          <w:rStyle w:val="FontStyle28"/>
          <w:rFonts w:cs="Times New Roman" w:ascii="Cambria" w:hAnsi="Cambria"/>
          <w:b/>
          <w:bCs/>
          <w:sz w:val="22"/>
          <w:szCs w:val="22"/>
        </w:rPr>
        <w:t>32-043 Skała, Rynek 29</w:t>
      </w:r>
    </w:p>
    <w:p>
      <w:pPr>
        <w:pStyle w:val="Normal"/>
        <w:spacing w:lineRule="auto" w:line="276"/>
        <w:jc w:val="right"/>
        <w:rPr>
          <w:rStyle w:val="FontStyle28"/>
          <w:rFonts w:ascii="Cambria" w:hAnsi="Cambria" w:cs="Times New Roman"/>
          <w:b/>
          <w:bCs/>
          <w:sz w:val="22"/>
          <w:szCs w:val="22"/>
        </w:rPr>
      </w:pPr>
      <w:r>
        <w:rPr>
          <w:rFonts w:cs="Times New Roman" w:ascii="Cambria" w:hAnsi="Cambria"/>
          <w:b/>
          <w:bCs/>
          <w:sz w:val="22"/>
          <w:szCs w:val="22"/>
        </w:rPr>
      </w:r>
    </w:p>
    <w:p>
      <w:pPr>
        <w:pStyle w:val="Normal"/>
        <w:spacing w:lineRule="auto" w:line="276"/>
        <w:jc w:val="right"/>
        <w:rPr>
          <w:rStyle w:val="FontStyle28"/>
          <w:rFonts w:ascii="Cambria" w:hAnsi="Cambria" w:cs="Times New Roman"/>
          <w:b/>
          <w:bCs/>
          <w:sz w:val="22"/>
          <w:szCs w:val="22"/>
        </w:rPr>
      </w:pPr>
      <w:r>
        <w:rPr>
          <w:rFonts w:cs="Times New Roman" w:ascii="Cambria" w:hAnsi="Cambria"/>
          <w:b/>
          <w:bCs/>
          <w:sz w:val="22"/>
          <w:szCs w:val="22"/>
        </w:rPr>
      </w:r>
    </w:p>
    <w:p>
      <w:pPr>
        <w:pStyle w:val="Normal"/>
        <w:numPr>
          <w:ilvl w:val="0"/>
          <w:numId w:val="38"/>
        </w:numPr>
        <w:tabs>
          <w:tab w:val="clear" w:pos="708"/>
          <w:tab w:val="left" w:pos="360" w:leader="none"/>
        </w:tabs>
        <w:suppressAutoHyphens w:val="false"/>
        <w:overflowPunct w:val="true"/>
        <w:spacing w:lineRule="auto" w:line="360" w:before="120" w:after="0"/>
        <w:jc w:val="both"/>
        <w:rPr>
          <w:rFonts w:ascii="Cambria" w:hAnsi="Cambria"/>
          <w:sz w:val="22"/>
          <w:szCs w:val="22"/>
        </w:rPr>
      </w:pPr>
      <w:r>
        <w:rPr>
          <w:rStyle w:val="FontStyle28"/>
          <w:rFonts w:cs="Calibri" w:ascii="Cambria" w:hAnsi="Cambria"/>
          <w:sz w:val="22"/>
          <w:szCs w:val="22"/>
          <w:lang w:eastAsia="pl-PL"/>
        </w:rPr>
        <w:t>Nawiązując</w:t>
      </w:r>
      <w:r>
        <w:rPr>
          <w:rFonts w:eastAsia="Courier New" w:ascii="Cambria" w:hAnsi="Cambria"/>
          <w:sz w:val="22"/>
          <w:szCs w:val="22"/>
        </w:rPr>
        <w:t xml:space="preserve"> do ogłoszenia o zamówieniu publicznym </w:t>
      </w:r>
      <w:r>
        <w:rPr>
          <w:rFonts w:ascii="Cambria" w:hAnsi="Cambria"/>
          <w:sz w:val="22"/>
          <w:szCs w:val="22"/>
          <w:lang w:eastAsia="en-US"/>
        </w:rPr>
        <w:t>w trybie podstawowym</w:t>
      </w:r>
      <w:r>
        <w:rPr>
          <w:rFonts w:ascii="Cambria" w:hAnsi="Cambria"/>
          <w:sz w:val="22"/>
          <w:szCs w:val="22"/>
        </w:rPr>
        <w:t xml:space="preserve"> </w:t>
      </w:r>
      <w:r>
        <w:rPr>
          <w:rFonts w:eastAsia="Courier New" w:ascii="Cambria" w:hAnsi="Cambria"/>
          <w:sz w:val="22"/>
          <w:szCs w:val="22"/>
        </w:rPr>
        <w:t xml:space="preserve">pn.: </w:t>
      </w:r>
      <w:r>
        <w:rPr>
          <w:rFonts w:cs="Arial" w:ascii="Cambria" w:hAnsi="Cambria"/>
          <w:b/>
          <w:bCs/>
          <w:sz w:val="22"/>
          <w:szCs w:val="22"/>
        </w:rPr>
        <w:t>„</w:t>
      </w:r>
      <w:r>
        <w:rPr>
          <w:rFonts w:cs="ArialMT" w:ascii="Cambria" w:hAnsi="Cambria"/>
          <w:b/>
          <w:bCs/>
          <w:sz w:val="22"/>
          <w:szCs w:val="22"/>
        </w:rPr>
        <w:t>Budowa budynku służącego celom kulturalnym i społecznym w Rzeplinie</w:t>
      </w:r>
      <w:r>
        <w:rPr>
          <w:rFonts w:eastAsia="Courier New" w:ascii="Cambria" w:hAnsi="Cambria"/>
          <w:sz w:val="22"/>
          <w:szCs w:val="22"/>
        </w:rPr>
        <w:t xml:space="preserve"> oferujemy wykonanie zamówienia za cenę :</w:t>
      </w:r>
    </w:p>
    <w:p>
      <w:pPr>
        <w:pStyle w:val="ListParagraph"/>
        <w:spacing w:lineRule="auto" w:line="276"/>
        <w:rPr>
          <w:rFonts w:ascii="Cambria" w:hAnsi="Cambria"/>
          <w:strike/>
          <w:color w:val="FF0000"/>
          <w:sz w:val="22"/>
          <w:szCs w:val="22"/>
        </w:rPr>
      </w:pPr>
      <w:r>
        <w:rPr>
          <w:rFonts w:ascii="Cambria" w:hAnsi="Cambria"/>
          <w:strike/>
          <w:color w:val="FF0000"/>
          <w:sz w:val="22"/>
          <w:szCs w:val="22"/>
        </w:rPr>
      </w:r>
    </w:p>
    <w:p>
      <w:pPr>
        <w:pStyle w:val="ListParagraph"/>
        <w:spacing w:lineRule="auto" w:line="276"/>
        <w:rPr>
          <w:rFonts w:ascii="Cambria" w:hAnsi="Cambria"/>
          <w:sz w:val="22"/>
          <w:szCs w:val="22"/>
        </w:rPr>
      </w:pPr>
      <w:r>
        <w:rPr>
          <w:rFonts w:ascii="Cambria" w:hAnsi="Cambria"/>
          <w:sz w:val="22"/>
          <w:szCs w:val="22"/>
        </w:rPr>
        <w:t>cena brutto</w:t>
        <w:tab/>
        <w:t>........................................................................................….............… zł</w:t>
      </w:r>
    </w:p>
    <w:p>
      <w:pPr>
        <w:pStyle w:val="ListParagraph"/>
        <w:spacing w:lineRule="auto" w:line="276"/>
        <w:rPr>
          <w:rFonts w:ascii="Cambria" w:hAnsi="Cambria"/>
          <w:sz w:val="22"/>
          <w:szCs w:val="22"/>
        </w:rPr>
      </w:pPr>
      <w:r>
        <w:rPr>
          <w:rFonts w:ascii="Cambria" w:hAnsi="Cambria"/>
          <w:sz w:val="22"/>
          <w:szCs w:val="22"/>
        </w:rPr>
      </w:r>
    </w:p>
    <w:p>
      <w:pPr>
        <w:pStyle w:val="ListParagraph"/>
        <w:spacing w:lineRule="auto" w:line="276"/>
        <w:rPr>
          <w:rFonts w:ascii="Cambria" w:hAnsi="Cambria"/>
          <w:sz w:val="22"/>
          <w:szCs w:val="22"/>
        </w:rPr>
      </w:pPr>
      <w:r>
        <w:rPr>
          <w:rFonts w:ascii="Cambria" w:hAnsi="Cambria"/>
          <w:sz w:val="22"/>
          <w:szCs w:val="22"/>
        </w:rPr>
        <w:t xml:space="preserve">(słownie: </w:t>
        <w:tab/>
        <w:t>...............................................................................................................)</w:t>
      </w:r>
    </w:p>
    <w:p>
      <w:pPr>
        <w:pStyle w:val="ListParagraph"/>
        <w:spacing w:lineRule="auto" w:line="276"/>
        <w:ind w:left="360"/>
        <w:jc w:val="both"/>
        <w:rPr>
          <w:rFonts w:ascii="Cambria" w:hAnsi="Cambria"/>
          <w:sz w:val="22"/>
          <w:szCs w:val="22"/>
        </w:rPr>
      </w:pPr>
      <w:r>
        <w:rPr>
          <w:rFonts w:ascii="Cambria" w:hAnsi="Cambria"/>
          <w:sz w:val="22"/>
          <w:szCs w:val="22"/>
        </w:rPr>
      </w:r>
    </w:p>
    <w:p>
      <w:pPr>
        <w:pStyle w:val="Normal"/>
        <w:numPr>
          <w:ilvl w:val="0"/>
          <w:numId w:val="38"/>
        </w:numPr>
        <w:tabs>
          <w:tab w:val="clear" w:pos="708"/>
          <w:tab w:val="left" w:pos="360" w:leader="none"/>
        </w:tabs>
        <w:suppressAutoHyphens w:val="false"/>
        <w:overflowPunct w:val="true"/>
        <w:spacing w:lineRule="auto" w:line="360" w:before="120" w:after="0"/>
        <w:jc w:val="both"/>
        <w:rPr/>
      </w:pPr>
      <w:r>
        <w:rPr>
          <w:rStyle w:val="FontStyle28"/>
          <w:rFonts w:cs="Calibri" w:ascii="Cambria" w:hAnsi="Cambria"/>
          <w:color w:val="000000"/>
          <w:sz w:val="22"/>
          <w:szCs w:val="22"/>
          <w:lang w:eastAsia="pl-PL"/>
        </w:rPr>
        <w:t>Zobowiązujemy</w:t>
      </w:r>
      <w:r>
        <w:rPr>
          <w:rFonts w:eastAsia="Courier New" w:ascii="Cambria" w:hAnsi="Cambria"/>
          <w:color w:val="000000"/>
          <w:sz w:val="22"/>
          <w:szCs w:val="22"/>
        </w:rPr>
        <w:t xml:space="preserve"> się do udzielenia gwarancji jakości na okres …………… miesięcy licząc od daty określonej w protokole odbioru końcowego.</w:t>
      </w:r>
    </w:p>
    <w:p>
      <w:pPr>
        <w:pStyle w:val="Normal"/>
        <w:widowControl w:val="false"/>
        <w:tabs>
          <w:tab w:val="clear" w:pos="708"/>
          <w:tab w:val="left" w:pos="960" w:leader="none"/>
        </w:tabs>
        <w:suppressAutoHyphens w:val="true"/>
        <w:overflowPunct w:val="true"/>
        <w:bidi w:val="0"/>
        <w:spacing w:lineRule="auto" w:line="276" w:before="0" w:after="0"/>
        <w:ind w:hanging="0" w:left="340" w:right="0"/>
        <w:jc w:val="left"/>
        <w:rPr>
          <w:color w:val="000000"/>
        </w:rPr>
      </w:pPr>
      <w:r>
        <w:rPr>
          <w:rFonts w:ascii="Cambria" w:hAnsi="Cambria"/>
          <w:i/>
          <w:iCs/>
          <w:color w:val="000000"/>
        </w:rPr>
        <w:t>Uwaga! Okres gwarancji należy podawać wyłącznie w pełnych miesiącach,  zgodnie z wymogami SWZ.</w:t>
      </w:r>
    </w:p>
    <w:p>
      <w:pPr>
        <w:pStyle w:val="Normal"/>
        <w:numPr>
          <w:ilvl w:val="0"/>
          <w:numId w:val="38"/>
        </w:numPr>
        <w:tabs>
          <w:tab w:val="clear" w:pos="708"/>
          <w:tab w:val="left" w:pos="360" w:leader="none"/>
        </w:tabs>
        <w:suppressAutoHyphens w:val="false"/>
        <w:overflowPunct w:val="true"/>
        <w:spacing w:lineRule="auto" w:line="360" w:before="120" w:after="0"/>
        <w:jc w:val="both"/>
        <w:rPr/>
      </w:pPr>
      <w:r>
        <w:rPr>
          <w:rStyle w:val="FontStyle28"/>
          <w:rFonts w:cs="Calibri" w:ascii="Cambria" w:hAnsi="Cambria"/>
          <w:color w:val="000000"/>
          <w:sz w:val="22"/>
          <w:szCs w:val="22"/>
          <w:lang w:eastAsia="pl-PL"/>
        </w:rPr>
        <w:t xml:space="preserve">Na stanowisko </w:t>
      </w:r>
      <w:r>
        <w:rPr>
          <w:rFonts w:ascii="Cambria" w:hAnsi="Cambria"/>
          <w:color w:val="000000"/>
          <w:sz w:val="22"/>
          <w:szCs w:val="22"/>
          <w:shd w:fill="FFFFFF" w:val="clear"/>
        </w:rPr>
        <w:t xml:space="preserve">kierownika budowy </w:t>
      </w:r>
      <w:r>
        <w:rPr>
          <w:rStyle w:val="FontStyle28"/>
          <w:rFonts w:cs="Calibri" w:ascii="Cambria" w:hAnsi="Cambria"/>
          <w:color w:val="000000"/>
          <w:sz w:val="22"/>
          <w:szCs w:val="22"/>
          <w:lang w:eastAsia="pl-PL"/>
        </w:rPr>
        <w:t xml:space="preserve">wyznaczamy osobę o podwyższonym doświadczeniu zawodowym, tj. osobę która przy spełnianiu wymogów </w:t>
      </w:r>
      <w:r>
        <w:rPr>
          <w:rFonts w:ascii="Cambria" w:hAnsi="Cambria"/>
          <w:color w:val="000000"/>
          <w:sz w:val="22"/>
          <w:szCs w:val="22"/>
          <w:shd w:fill="FFFFFF" w:val="clear"/>
        </w:rPr>
        <w:t>w zakresie uprawnień pełniła funkcję kierownika budowy</w:t>
      </w:r>
      <w:r>
        <w:rPr>
          <w:rFonts w:eastAsia="Tahoma" w:cs="Calibri" w:ascii="Cambria" w:hAnsi="Cambria"/>
          <w:bCs/>
          <w:color w:val="000000"/>
          <w:sz w:val="22"/>
          <w:szCs w:val="22"/>
        </w:rPr>
        <w:t xml:space="preserve"> w odniesieniu do robót budowlanych o których mowa w sekcji II pkt. 1.2.2.b).</w:t>
      </w:r>
      <w:r>
        <w:rPr>
          <w:rFonts w:ascii="Cambria" w:hAnsi="Cambria"/>
          <w:color w:val="000000"/>
          <w:sz w:val="22"/>
          <w:szCs w:val="22"/>
          <w:shd w:fill="FFFFFF" w:val="clear"/>
        </w:rPr>
        <w:t xml:space="preserve"> …………………. razy </w:t>
      </w:r>
    </w:p>
    <w:p>
      <w:pPr>
        <w:pStyle w:val="Normal"/>
        <w:widowControl w:val="false"/>
        <w:tabs>
          <w:tab w:val="clear" w:pos="708"/>
          <w:tab w:val="left" w:pos="960" w:leader="none"/>
        </w:tabs>
        <w:overflowPunct w:val="true"/>
        <w:spacing w:lineRule="auto" w:line="276"/>
        <w:ind w:hanging="0" w:left="340" w:right="0"/>
        <w:jc w:val="both"/>
        <w:rPr>
          <w:rFonts w:ascii="Cambria" w:hAnsi="Cambria"/>
          <w:i/>
          <w:i/>
          <w:iCs/>
          <w:color w:val="000000"/>
        </w:rPr>
      </w:pPr>
      <w:r>
        <w:rPr>
          <w:rFonts w:ascii="Cambria" w:hAnsi="Cambria"/>
          <w:i/>
          <w:iCs/>
          <w:color w:val="000000"/>
        </w:rPr>
        <w:t>(Wskazać ilość. Tylko jeżeli ilość przypadków pełnienia funkcji kierownika budowy jest większa niż  wymagane przez Zamawiającego minimum projektów spełniających wymagania o których mowa w sekcji II pkt. 1.2.2.b)</w:t>
      </w:r>
    </w:p>
    <w:p>
      <w:pPr>
        <w:pStyle w:val="ListParagraph"/>
        <w:spacing w:lineRule="auto" w:line="276"/>
        <w:ind w:left="360"/>
        <w:jc w:val="both"/>
        <w:rPr>
          <w:rFonts w:ascii="Cambria" w:hAnsi="Cambria"/>
          <w:sz w:val="22"/>
          <w:szCs w:val="22"/>
        </w:rPr>
      </w:pPr>
      <w:r>
        <w:rPr>
          <w:rFonts w:ascii="Cambria" w:hAnsi="Cambria"/>
          <w:sz w:val="22"/>
          <w:szCs w:val="22"/>
        </w:rPr>
      </w:r>
    </w:p>
    <w:p>
      <w:pPr>
        <w:pStyle w:val="Normal"/>
        <w:numPr>
          <w:ilvl w:val="0"/>
          <w:numId w:val="35"/>
        </w:numPr>
        <w:tabs>
          <w:tab w:val="clear" w:pos="708"/>
          <w:tab w:val="left" w:pos="396" w:leader="none"/>
        </w:tabs>
        <w:spacing w:lineRule="auto" w:line="276" w:before="57" w:after="57"/>
        <w:jc w:val="both"/>
        <w:rPr/>
      </w:pPr>
      <w:r>
        <w:rPr>
          <w:rFonts w:eastAsia="Courier New" w:ascii="Cambria" w:hAnsi="Cambria"/>
          <w:sz w:val="22"/>
          <w:szCs w:val="22"/>
        </w:rPr>
        <w:t>Oświadczamy, że:</w:t>
      </w:r>
    </w:p>
    <w:p>
      <w:pPr>
        <w:pStyle w:val="Normal"/>
        <w:numPr>
          <w:ilvl w:val="3"/>
          <w:numId w:val="35"/>
        </w:numPr>
        <w:tabs>
          <w:tab w:val="clear" w:pos="708"/>
          <w:tab w:val="left" w:pos="396" w:leader="none"/>
        </w:tabs>
        <w:spacing w:lineRule="auto" w:line="276"/>
        <w:ind w:hanging="340" w:left="1077"/>
        <w:jc w:val="both"/>
        <w:rPr/>
      </w:pPr>
      <w:r>
        <w:rPr>
          <w:rFonts w:eastAsia="Courier New" w:ascii="Cambria" w:hAnsi="Cambria"/>
          <w:sz w:val="22"/>
          <w:szCs w:val="22"/>
        </w:rPr>
        <w:t>Wykonamy zamówienie publiczne w terminie wskazanym w SWZ,</w:t>
      </w:r>
    </w:p>
    <w:p>
      <w:pPr>
        <w:pStyle w:val="Normal"/>
        <w:numPr>
          <w:ilvl w:val="3"/>
          <w:numId w:val="35"/>
        </w:numPr>
        <w:tabs>
          <w:tab w:val="clear" w:pos="708"/>
          <w:tab w:val="left" w:pos="396" w:leader="none"/>
        </w:tabs>
        <w:spacing w:lineRule="auto" w:line="276"/>
        <w:ind w:hanging="340" w:left="1077"/>
        <w:jc w:val="both"/>
        <w:rPr>
          <w:rFonts w:ascii="Cambria" w:hAnsi="Cambria" w:eastAsia="Courier New"/>
          <w:sz w:val="22"/>
          <w:szCs w:val="22"/>
        </w:rPr>
      </w:pPr>
      <w:r>
        <w:rPr>
          <w:rFonts w:eastAsia="Courier New" w:ascii="Cambria" w:hAnsi="Cambria"/>
          <w:sz w:val="22"/>
          <w:szCs w:val="22"/>
        </w:rPr>
        <w:t>Akceptujemy termin płatności, który wynosi: 30 dni.</w:t>
      </w:r>
    </w:p>
    <w:p>
      <w:pPr>
        <w:pStyle w:val="Normal"/>
        <w:widowControl w:val="false"/>
        <w:tabs>
          <w:tab w:val="clear" w:pos="708"/>
          <w:tab w:val="left" w:pos="960" w:leader="none"/>
        </w:tabs>
        <w:overflowPunct w:val="true"/>
        <w:spacing w:lineRule="auto" w:line="276"/>
        <w:ind w:left="850"/>
        <w:rPr>
          <w:rFonts w:ascii="Cambria" w:hAnsi="Cambria"/>
          <w:i/>
          <w:i/>
          <w:iCs/>
        </w:rPr>
      </w:pPr>
      <w:r>
        <w:rPr>
          <w:rFonts w:ascii="Cambria" w:hAnsi="Cambria"/>
          <w:i/>
          <w:iCs/>
        </w:rPr>
      </w:r>
    </w:p>
    <w:p>
      <w:pPr>
        <w:pStyle w:val="Normal"/>
        <w:numPr>
          <w:ilvl w:val="0"/>
          <w:numId w:val="35"/>
        </w:numPr>
        <w:tabs>
          <w:tab w:val="clear" w:pos="708"/>
          <w:tab w:val="left" w:pos="396" w:leader="none"/>
        </w:tabs>
        <w:spacing w:lineRule="auto" w:line="276" w:before="57" w:after="57"/>
        <w:ind w:hanging="340" w:left="340"/>
        <w:jc w:val="both"/>
        <w:rPr>
          <w:rFonts w:ascii="Cambria" w:hAnsi="Cambria" w:eastAsia="Courier New"/>
          <w:sz w:val="22"/>
          <w:szCs w:val="22"/>
        </w:rPr>
      </w:pPr>
      <w:r>
        <w:rPr>
          <w:rFonts w:eastAsia="Courier New" w:ascii="Cambria" w:hAnsi="Cambria"/>
          <w:sz w:val="22"/>
          <w:szCs w:val="22"/>
        </w:rPr>
        <w:t>Oświadczenie dotyczące postanowień specyfikacji istotnych warunków zamówienia:</w:t>
      </w:r>
    </w:p>
    <w:p>
      <w:pPr>
        <w:pStyle w:val="Normal"/>
        <w:numPr>
          <w:ilvl w:val="3"/>
          <w:numId w:val="35"/>
        </w:numPr>
        <w:tabs>
          <w:tab w:val="clear" w:pos="708"/>
          <w:tab w:val="left" w:pos="396" w:leader="none"/>
        </w:tabs>
        <w:spacing w:lineRule="auto" w:line="276"/>
        <w:ind w:hanging="340" w:left="1077"/>
        <w:jc w:val="both"/>
        <w:rPr>
          <w:rFonts w:ascii="Cambria" w:hAnsi="Cambria" w:eastAsia="Courier New"/>
          <w:sz w:val="22"/>
          <w:szCs w:val="22"/>
        </w:rPr>
      </w:pPr>
      <w:r>
        <w:rPr>
          <w:rFonts w:eastAsia="Courier New" w:ascii="Cambria" w:hAnsi="Cambria"/>
          <w:sz w:val="22"/>
          <w:szCs w:val="22"/>
        </w:rPr>
        <w:t>Zamówienie zrealizujemy sami / z udziałem podwykonawców / jako Konsorcjum*.</w:t>
      </w:r>
    </w:p>
    <w:p>
      <w:pPr>
        <w:pStyle w:val="Normal"/>
        <w:tabs>
          <w:tab w:val="clear" w:pos="708"/>
          <w:tab w:val="left" w:pos="396" w:leader="none"/>
        </w:tabs>
        <w:spacing w:lineRule="auto" w:line="276"/>
        <w:ind w:left="1077"/>
        <w:jc w:val="both"/>
        <w:rPr>
          <w:rFonts w:ascii="Cambria" w:hAnsi="Cambria" w:eastAsia="Courier New"/>
          <w:i/>
          <w:i/>
          <w:iCs/>
          <w:sz w:val="22"/>
          <w:szCs w:val="22"/>
        </w:rPr>
      </w:pPr>
      <w:r>
        <w:rPr>
          <w:rFonts w:eastAsia="Courier New" w:ascii="Cambria" w:hAnsi="Cambria"/>
          <w:i/>
          <w:iCs/>
          <w:sz w:val="22"/>
          <w:szCs w:val="22"/>
        </w:rPr>
        <w:t>*niepotrzebne skreślić</w:t>
      </w:r>
    </w:p>
    <w:p>
      <w:pPr>
        <w:pStyle w:val="Normal"/>
        <w:numPr>
          <w:ilvl w:val="3"/>
          <w:numId w:val="35"/>
        </w:numPr>
        <w:tabs>
          <w:tab w:val="clear" w:pos="708"/>
          <w:tab w:val="left" w:pos="396" w:leader="none"/>
        </w:tabs>
        <w:spacing w:lineRule="auto" w:line="276"/>
        <w:ind w:hanging="340" w:left="1077"/>
        <w:jc w:val="both"/>
        <w:rPr>
          <w:rFonts w:ascii="Cambria" w:hAnsi="Cambria" w:eastAsia="Courier New"/>
          <w:sz w:val="22"/>
          <w:szCs w:val="22"/>
        </w:rPr>
      </w:pPr>
      <w:r>
        <w:rPr>
          <w:rFonts w:eastAsia="Courier New" w:ascii="Cambria" w:hAnsi="Cambria"/>
          <w:sz w:val="22"/>
          <w:szCs w:val="22"/>
        </w:rPr>
        <w:t>Zapoznaliśmy się ze Specyfikacją Warunków Zamówienia, nie wnosimy żadnych zastrzeżeń oraz uzyskaliśmy niezbędne informacje do przygotowania oferty.</w:t>
      </w:r>
    </w:p>
    <w:p>
      <w:pPr>
        <w:pStyle w:val="Normal"/>
        <w:numPr>
          <w:ilvl w:val="3"/>
          <w:numId w:val="35"/>
        </w:numPr>
        <w:tabs>
          <w:tab w:val="clear" w:pos="708"/>
          <w:tab w:val="left" w:pos="396" w:leader="none"/>
        </w:tabs>
        <w:spacing w:lineRule="auto" w:line="276"/>
        <w:ind w:hanging="340" w:left="1077"/>
        <w:jc w:val="both"/>
        <w:rPr/>
      </w:pPr>
      <w:r>
        <w:rPr>
          <w:rFonts w:eastAsia="Courier New" w:ascii="Cambria" w:hAnsi="Cambria"/>
          <w:sz w:val="22"/>
          <w:szCs w:val="22"/>
        </w:rPr>
        <w:t>Uważamy się za związanych ofertą przez okres wskazany w specyfikacji warunków zamówienia.</w:t>
      </w:r>
    </w:p>
    <w:p>
      <w:pPr>
        <w:pStyle w:val="Normal"/>
        <w:numPr>
          <w:ilvl w:val="3"/>
          <w:numId w:val="35"/>
        </w:numPr>
        <w:tabs>
          <w:tab w:val="clear" w:pos="708"/>
          <w:tab w:val="left" w:pos="396" w:leader="none"/>
        </w:tabs>
        <w:spacing w:lineRule="auto" w:line="276"/>
        <w:ind w:hanging="340" w:left="1077"/>
        <w:jc w:val="both"/>
        <w:rPr>
          <w:rFonts w:ascii="Cambria" w:hAnsi="Cambria" w:eastAsia="Courier New"/>
          <w:sz w:val="22"/>
          <w:szCs w:val="22"/>
        </w:rPr>
      </w:pPr>
      <w:r>
        <w:rPr>
          <w:rFonts w:eastAsia="Courier New" w:ascii="Cambria" w:hAnsi="Cambria"/>
          <w:sz w:val="22"/>
          <w:szCs w:val="22"/>
        </w:rPr>
        <w:t>Oświadczamy, że załączony do specyfikacji istotnych warunków zamówienia wzór umowy został przez nas zaakceptowany bez zastrzeżeń i zobowiązujemy się w przypadku wyboru naszej oferty do zawarcia umowy w miejscu i terminie wyznaczonym przez Zamawiającego.</w:t>
      </w:r>
    </w:p>
    <w:p>
      <w:pPr>
        <w:pStyle w:val="Normal"/>
        <w:numPr>
          <w:ilvl w:val="3"/>
          <w:numId w:val="35"/>
        </w:numPr>
        <w:tabs>
          <w:tab w:val="clear" w:pos="708"/>
          <w:tab w:val="left" w:pos="396" w:leader="none"/>
        </w:tabs>
        <w:spacing w:lineRule="auto" w:line="276"/>
        <w:ind w:hanging="340" w:left="1077"/>
        <w:jc w:val="both"/>
        <w:rPr>
          <w:rFonts w:ascii="Cambria" w:hAnsi="Cambria" w:eastAsia="Courier New"/>
          <w:sz w:val="22"/>
          <w:szCs w:val="22"/>
        </w:rPr>
      </w:pPr>
      <w:r>
        <w:rPr>
          <w:rFonts w:eastAsia="Courier New" w:ascii="Cambria" w:hAnsi="Cambria"/>
          <w:sz w:val="22"/>
          <w:szCs w:val="22"/>
        </w:rPr>
        <w:t>Zobowiązujemy się do zatrudnienia na podstawie umowy o pracę we własnym przedsiębiorstwie lub przez podwykonawcę osób mających realizować zamówienie jeżeli zakres czynności tych osób polegać będzie na wykonywaniu pracy w sposób określony w art. 22 § 1 ustawy z dnia 26 czerwca 1974 r. - Kodeks pracy.</w:t>
      </w:r>
    </w:p>
    <w:p>
      <w:pPr>
        <w:pStyle w:val="Normal"/>
        <w:numPr>
          <w:ilvl w:val="3"/>
          <w:numId w:val="35"/>
        </w:numPr>
        <w:tabs>
          <w:tab w:val="clear" w:pos="708"/>
          <w:tab w:val="left" w:pos="396" w:leader="none"/>
        </w:tabs>
        <w:spacing w:lineRule="auto" w:line="276"/>
        <w:ind w:hanging="340" w:left="1077"/>
        <w:jc w:val="both"/>
        <w:rPr>
          <w:rFonts w:ascii="Cambria" w:hAnsi="Cambria" w:eastAsia="Courier New"/>
          <w:sz w:val="22"/>
          <w:szCs w:val="22"/>
        </w:rPr>
      </w:pPr>
      <w:r>
        <w:rPr>
          <w:rFonts w:eastAsia="Courier New" w:ascii="Cambria" w:hAnsi="Cambria"/>
          <w:sz w:val="22"/>
          <w:szCs w:val="22"/>
        </w:rPr>
        <w:t xml:space="preserve">Przedstawione w ofercie ceny nie stanowią cen dumpingowych i złożenie oferty nie stanowi czynu nieuczciwej konkurencji. </w:t>
      </w:r>
    </w:p>
    <w:p>
      <w:pPr>
        <w:pStyle w:val="Normal"/>
        <w:numPr>
          <w:ilvl w:val="0"/>
          <w:numId w:val="35"/>
        </w:numPr>
        <w:tabs>
          <w:tab w:val="clear" w:pos="708"/>
          <w:tab w:val="left" w:pos="396" w:leader="none"/>
        </w:tabs>
        <w:spacing w:lineRule="auto" w:line="276" w:before="57" w:after="57"/>
        <w:ind w:hanging="340" w:left="340"/>
        <w:jc w:val="both"/>
        <w:rPr>
          <w:rFonts w:ascii="Cambria" w:hAnsi="Cambria" w:eastAsia="Courier New"/>
          <w:sz w:val="22"/>
          <w:szCs w:val="22"/>
        </w:rPr>
      </w:pPr>
      <w:r>
        <w:rPr>
          <w:rFonts w:eastAsia="Courier New" w:ascii="Cambria" w:hAnsi="Cambria"/>
          <w:sz w:val="22"/>
          <w:szCs w:val="22"/>
        </w:rPr>
        <w:t xml:space="preserve">Oświadczamy, że </w:t>
      </w:r>
      <w:r>
        <w:rPr>
          <w:rFonts w:eastAsia="Courier New" w:ascii="Cambria" w:hAnsi="Cambria"/>
          <w:i/>
          <w:iCs/>
        </w:rPr>
        <w:t>(właściwe zaznaczyć)</w:t>
      </w:r>
      <w:r>
        <w:rPr>
          <w:rFonts w:eastAsia="Courier New" w:ascii="Cambria" w:hAnsi="Cambria"/>
          <w:sz w:val="22"/>
          <w:szCs w:val="22"/>
        </w:rPr>
        <w:t>:</w:t>
      </w:r>
    </w:p>
    <w:p>
      <w:pPr>
        <w:pStyle w:val="Normal"/>
        <w:spacing w:lineRule="auto" w:line="276"/>
        <w:ind w:left="454"/>
        <w:rPr>
          <w:rFonts w:ascii="Cambria" w:hAnsi="Cambria"/>
          <w:sz w:val="22"/>
          <w:szCs w:val="22"/>
        </w:rPr>
      </w:pPr>
      <w:r>
        <w:rPr>
          <w:rFonts w:eastAsia="Cambria" w:cs="Cambria" w:ascii="Cambria" w:hAnsi="Cambria"/>
          <w:sz w:val="22"/>
          <w:szCs w:val="22"/>
        </w:rPr>
        <w:t>⎕</w:t>
      </w:r>
      <w:r>
        <w:rPr>
          <w:rFonts w:eastAsia="Courier New" w:ascii="Cambria" w:hAnsi="Cambria"/>
          <w:sz w:val="22"/>
          <w:szCs w:val="22"/>
        </w:rPr>
        <w:t xml:space="preserve"> </w:t>
      </w:r>
      <w:r>
        <w:rPr>
          <w:rFonts w:eastAsia="Courier New" w:ascii="Cambria" w:hAnsi="Cambria"/>
          <w:sz w:val="22"/>
          <w:szCs w:val="22"/>
        </w:rPr>
        <w:t>- Siłami własnymi wykonamy cały zakres rzeczowy umowy.</w:t>
      </w:r>
    </w:p>
    <w:p>
      <w:pPr>
        <w:pStyle w:val="Normal"/>
        <w:spacing w:lineRule="auto" w:line="276"/>
        <w:ind w:left="454"/>
        <w:rPr>
          <w:rFonts w:ascii="Cambria" w:hAnsi="Cambria"/>
          <w:sz w:val="22"/>
          <w:szCs w:val="22"/>
        </w:rPr>
      </w:pPr>
      <w:r>
        <w:rPr>
          <w:rFonts w:eastAsia="Cambria" w:cs="Cambria" w:ascii="Cambria" w:hAnsi="Cambria"/>
          <w:sz w:val="22"/>
          <w:szCs w:val="22"/>
        </w:rPr>
        <w:t>⎕</w:t>
      </w:r>
      <w:r>
        <w:rPr>
          <w:rFonts w:eastAsia="Courier New" w:ascii="Cambria" w:hAnsi="Cambria"/>
          <w:sz w:val="22"/>
          <w:szCs w:val="22"/>
        </w:rPr>
        <w:t xml:space="preserve"> </w:t>
      </w:r>
      <w:r>
        <w:rPr>
          <w:rFonts w:eastAsia="Courier New" w:ascii="Cambria" w:hAnsi="Cambria"/>
          <w:sz w:val="22"/>
          <w:szCs w:val="22"/>
        </w:rPr>
        <w:t>- Przy udziale podwykonawców zamierzamy wykonać niżej wymienione prace:</w:t>
        <w:tab/>
      </w:r>
    </w:p>
    <w:tbl>
      <w:tblPr>
        <w:tblW w:w="9468" w:type="dxa"/>
        <w:jc w:val="left"/>
        <w:tblInd w:w="113" w:type="dxa"/>
        <w:tblLayout w:type="fixed"/>
        <w:tblCellMar>
          <w:top w:w="0" w:type="dxa"/>
          <w:left w:w="108" w:type="dxa"/>
          <w:bottom w:w="0" w:type="dxa"/>
          <w:right w:w="108" w:type="dxa"/>
        </w:tblCellMar>
        <w:tblLook w:firstRow="1" w:noVBand="0" w:lastRow="1" w:firstColumn="1" w:lastColumn="1" w:noHBand="0" w:val="01e0"/>
      </w:tblPr>
      <w:tblGrid>
        <w:gridCol w:w="544"/>
        <w:gridCol w:w="1750"/>
        <w:gridCol w:w="3087"/>
        <w:gridCol w:w="4086"/>
      </w:tblGrid>
      <w:tr>
        <w:trPr/>
        <w:tc>
          <w:tcPr>
            <w:tcW w:w="544" w:type="dxa"/>
            <w:tcBorders>
              <w:top w:val="single" w:sz="4" w:space="0" w:color="000000"/>
              <w:left w:val="single" w:sz="4" w:space="0" w:color="000000"/>
              <w:bottom w:val="single" w:sz="4" w:space="0" w:color="000000"/>
              <w:right w:val="single" w:sz="4" w:space="0" w:color="000000"/>
            </w:tcBorders>
          </w:tcPr>
          <w:p>
            <w:pPr>
              <w:pStyle w:val="Normal"/>
              <w:spacing w:lineRule="auto" w:line="276"/>
              <w:rPr>
                <w:rFonts w:ascii="Cambria" w:hAnsi="Cambria"/>
                <w:sz w:val="22"/>
                <w:szCs w:val="22"/>
              </w:rPr>
            </w:pPr>
            <w:r>
              <w:rPr>
                <w:rFonts w:eastAsia="Courier New" w:ascii="Cambria" w:hAnsi="Cambria"/>
                <w:sz w:val="22"/>
                <w:szCs w:val="22"/>
              </w:rPr>
              <w:t>Lp.</w:t>
            </w:r>
          </w:p>
        </w:tc>
        <w:tc>
          <w:tcPr>
            <w:tcW w:w="1750" w:type="dxa"/>
            <w:tcBorders>
              <w:top w:val="single" w:sz="4" w:space="0" w:color="000000"/>
              <w:left w:val="single" w:sz="4" w:space="0" w:color="000000"/>
              <w:bottom w:val="single" w:sz="4" w:space="0" w:color="000000"/>
              <w:right w:val="single" w:sz="4" w:space="0" w:color="000000"/>
            </w:tcBorders>
          </w:tcPr>
          <w:p>
            <w:pPr>
              <w:pStyle w:val="Normal"/>
              <w:spacing w:lineRule="auto" w:line="276"/>
              <w:rPr>
                <w:rFonts w:ascii="Cambria" w:hAnsi="Cambria"/>
                <w:sz w:val="22"/>
                <w:szCs w:val="22"/>
              </w:rPr>
            </w:pPr>
            <w:r>
              <w:rPr>
                <w:rFonts w:eastAsia="Courier New" w:ascii="Cambria" w:hAnsi="Cambria"/>
                <w:sz w:val="22"/>
                <w:szCs w:val="22"/>
              </w:rPr>
              <w:t>Nazwa Podwykonawcy</w:t>
            </w:r>
          </w:p>
        </w:tc>
        <w:tc>
          <w:tcPr>
            <w:tcW w:w="3087" w:type="dxa"/>
            <w:tcBorders>
              <w:top w:val="single" w:sz="4" w:space="0" w:color="000000"/>
              <w:left w:val="single" w:sz="4" w:space="0" w:color="000000"/>
              <w:bottom w:val="single" w:sz="4" w:space="0" w:color="000000"/>
              <w:right w:val="single" w:sz="4" w:space="0" w:color="000000"/>
            </w:tcBorders>
          </w:tcPr>
          <w:p>
            <w:pPr>
              <w:pStyle w:val="Normal"/>
              <w:spacing w:lineRule="auto" w:line="276"/>
              <w:rPr>
                <w:rFonts w:ascii="Cambria" w:hAnsi="Cambria"/>
                <w:sz w:val="22"/>
                <w:szCs w:val="22"/>
              </w:rPr>
            </w:pPr>
            <w:r>
              <w:rPr>
                <w:rFonts w:eastAsia="Courier New" w:ascii="Cambria" w:hAnsi="Cambria"/>
                <w:sz w:val="22"/>
                <w:szCs w:val="22"/>
              </w:rPr>
              <w:t>Opis części zamówienia, które będą zlecone Podwykonawcom</w:t>
            </w:r>
          </w:p>
        </w:tc>
        <w:tc>
          <w:tcPr>
            <w:tcW w:w="4086" w:type="dxa"/>
            <w:tcBorders>
              <w:top w:val="single" w:sz="4" w:space="0" w:color="000000"/>
              <w:left w:val="single" w:sz="4" w:space="0" w:color="000000"/>
              <w:bottom w:val="single" w:sz="4" w:space="0" w:color="000000"/>
              <w:right w:val="single" w:sz="4" w:space="0" w:color="000000"/>
            </w:tcBorders>
          </w:tcPr>
          <w:p>
            <w:pPr>
              <w:pStyle w:val="Normal"/>
              <w:spacing w:lineRule="auto" w:line="276"/>
              <w:rPr>
                <w:rFonts w:ascii="Cambria" w:hAnsi="Cambria"/>
                <w:sz w:val="22"/>
                <w:szCs w:val="22"/>
              </w:rPr>
            </w:pPr>
            <w:r>
              <w:rPr>
                <w:rFonts w:eastAsia="Courier New" w:ascii="Cambria" w:hAnsi="Cambria"/>
                <w:sz w:val="22"/>
                <w:szCs w:val="22"/>
              </w:rPr>
              <w:t>Szacunkowa % wartość części zamówienia wykonywanej przez podwykonawcę względem całości zamówienia:</w:t>
            </w:r>
          </w:p>
        </w:tc>
      </w:tr>
      <w:tr>
        <w:trPr/>
        <w:tc>
          <w:tcPr>
            <w:tcW w:w="544" w:type="dxa"/>
            <w:tcBorders>
              <w:top w:val="single" w:sz="4" w:space="0" w:color="000000"/>
              <w:left w:val="single" w:sz="4" w:space="0" w:color="000000"/>
              <w:bottom w:val="single" w:sz="4" w:space="0" w:color="000000"/>
              <w:right w:val="single" w:sz="4" w:space="0" w:color="000000"/>
            </w:tcBorders>
          </w:tcPr>
          <w:p>
            <w:pPr>
              <w:pStyle w:val="Normal"/>
              <w:spacing w:lineRule="auto" w:line="276"/>
              <w:rPr>
                <w:rFonts w:ascii="Cambria" w:hAnsi="Cambria" w:eastAsia="Courier New"/>
                <w:sz w:val="22"/>
                <w:szCs w:val="22"/>
              </w:rPr>
            </w:pPr>
            <w:r>
              <w:rPr>
                <w:rFonts w:eastAsia="Courier New" w:ascii="Cambria" w:hAnsi="Cambria"/>
                <w:sz w:val="22"/>
                <w:szCs w:val="22"/>
              </w:rPr>
            </w:r>
          </w:p>
        </w:tc>
        <w:tc>
          <w:tcPr>
            <w:tcW w:w="1750" w:type="dxa"/>
            <w:tcBorders>
              <w:top w:val="single" w:sz="4" w:space="0" w:color="000000"/>
              <w:left w:val="single" w:sz="4" w:space="0" w:color="000000"/>
              <w:bottom w:val="single" w:sz="4" w:space="0" w:color="000000"/>
              <w:right w:val="single" w:sz="4" w:space="0" w:color="000000"/>
            </w:tcBorders>
          </w:tcPr>
          <w:p>
            <w:pPr>
              <w:pStyle w:val="Normal"/>
              <w:spacing w:lineRule="auto" w:line="276"/>
              <w:rPr>
                <w:rFonts w:ascii="Cambria" w:hAnsi="Cambria" w:eastAsia="Courier New"/>
                <w:sz w:val="22"/>
                <w:szCs w:val="22"/>
              </w:rPr>
            </w:pPr>
            <w:r>
              <w:rPr>
                <w:rFonts w:eastAsia="Courier New" w:ascii="Cambria" w:hAnsi="Cambria"/>
                <w:sz w:val="22"/>
                <w:szCs w:val="22"/>
              </w:rPr>
            </w:r>
          </w:p>
        </w:tc>
        <w:tc>
          <w:tcPr>
            <w:tcW w:w="3087" w:type="dxa"/>
            <w:tcBorders>
              <w:top w:val="single" w:sz="4" w:space="0" w:color="000000"/>
              <w:left w:val="single" w:sz="4" w:space="0" w:color="000000"/>
              <w:bottom w:val="single" w:sz="4" w:space="0" w:color="000000"/>
              <w:right w:val="single" w:sz="4" w:space="0" w:color="000000"/>
            </w:tcBorders>
          </w:tcPr>
          <w:p>
            <w:pPr>
              <w:pStyle w:val="Normal"/>
              <w:spacing w:lineRule="auto" w:line="276"/>
              <w:rPr>
                <w:rFonts w:ascii="Cambria" w:hAnsi="Cambria" w:eastAsia="Courier New"/>
                <w:sz w:val="22"/>
                <w:szCs w:val="22"/>
              </w:rPr>
            </w:pPr>
            <w:r>
              <w:rPr>
                <w:rFonts w:eastAsia="Courier New" w:ascii="Cambria" w:hAnsi="Cambria"/>
                <w:sz w:val="22"/>
                <w:szCs w:val="22"/>
              </w:rPr>
            </w:r>
          </w:p>
        </w:tc>
        <w:tc>
          <w:tcPr>
            <w:tcW w:w="4086" w:type="dxa"/>
            <w:tcBorders>
              <w:top w:val="single" w:sz="4" w:space="0" w:color="000000"/>
              <w:left w:val="single" w:sz="4" w:space="0" w:color="000000"/>
              <w:bottom w:val="single" w:sz="4" w:space="0" w:color="000000"/>
              <w:right w:val="single" w:sz="4" w:space="0" w:color="000000"/>
            </w:tcBorders>
          </w:tcPr>
          <w:p>
            <w:pPr>
              <w:pStyle w:val="Normal"/>
              <w:spacing w:lineRule="auto" w:line="276"/>
              <w:jc w:val="center"/>
              <w:rPr>
                <w:rFonts w:ascii="Cambria" w:hAnsi="Cambria"/>
                <w:sz w:val="22"/>
                <w:szCs w:val="22"/>
              </w:rPr>
            </w:pPr>
            <w:r>
              <w:rPr>
                <w:rFonts w:ascii="Cambria" w:hAnsi="Cambria"/>
                <w:sz w:val="22"/>
                <w:szCs w:val="22"/>
              </w:rPr>
              <w:t>……</w:t>
            </w:r>
            <w:r>
              <w:rPr>
                <w:rFonts w:ascii="Cambria" w:hAnsi="Cambria"/>
                <w:sz w:val="22"/>
                <w:szCs w:val="22"/>
              </w:rPr>
              <w:t>. %</w:t>
            </w:r>
          </w:p>
        </w:tc>
      </w:tr>
      <w:tr>
        <w:trPr/>
        <w:tc>
          <w:tcPr>
            <w:tcW w:w="544" w:type="dxa"/>
            <w:tcBorders>
              <w:left w:val="single" w:sz="4" w:space="0" w:color="000000"/>
              <w:bottom w:val="single" w:sz="4" w:space="0" w:color="000000"/>
              <w:right w:val="single" w:sz="4" w:space="0" w:color="000000"/>
            </w:tcBorders>
          </w:tcPr>
          <w:p>
            <w:pPr>
              <w:pStyle w:val="Normal"/>
              <w:spacing w:lineRule="auto" w:line="276"/>
              <w:rPr>
                <w:rFonts w:ascii="Cambria" w:hAnsi="Cambria" w:eastAsia="Courier New"/>
                <w:sz w:val="22"/>
                <w:szCs w:val="22"/>
              </w:rPr>
            </w:pPr>
            <w:r>
              <w:rPr>
                <w:rFonts w:eastAsia="Courier New" w:ascii="Cambria" w:hAnsi="Cambria"/>
                <w:sz w:val="22"/>
                <w:szCs w:val="22"/>
              </w:rPr>
            </w:r>
          </w:p>
        </w:tc>
        <w:tc>
          <w:tcPr>
            <w:tcW w:w="1750" w:type="dxa"/>
            <w:tcBorders>
              <w:left w:val="single" w:sz="4" w:space="0" w:color="000000"/>
              <w:bottom w:val="single" w:sz="4" w:space="0" w:color="000000"/>
              <w:right w:val="single" w:sz="4" w:space="0" w:color="000000"/>
            </w:tcBorders>
          </w:tcPr>
          <w:p>
            <w:pPr>
              <w:pStyle w:val="Normal"/>
              <w:spacing w:lineRule="auto" w:line="276"/>
              <w:rPr>
                <w:rFonts w:ascii="Cambria" w:hAnsi="Cambria" w:eastAsia="Courier New"/>
                <w:sz w:val="22"/>
                <w:szCs w:val="22"/>
              </w:rPr>
            </w:pPr>
            <w:r>
              <w:rPr>
                <w:rFonts w:eastAsia="Courier New" w:ascii="Cambria" w:hAnsi="Cambria"/>
                <w:sz w:val="22"/>
                <w:szCs w:val="22"/>
              </w:rPr>
            </w:r>
          </w:p>
        </w:tc>
        <w:tc>
          <w:tcPr>
            <w:tcW w:w="3087" w:type="dxa"/>
            <w:tcBorders>
              <w:left w:val="single" w:sz="4" w:space="0" w:color="000000"/>
              <w:bottom w:val="single" w:sz="4" w:space="0" w:color="000000"/>
              <w:right w:val="single" w:sz="4" w:space="0" w:color="000000"/>
            </w:tcBorders>
          </w:tcPr>
          <w:p>
            <w:pPr>
              <w:pStyle w:val="Normal"/>
              <w:spacing w:lineRule="auto" w:line="276"/>
              <w:rPr>
                <w:rFonts w:ascii="Cambria" w:hAnsi="Cambria" w:eastAsia="Courier New"/>
                <w:sz w:val="22"/>
                <w:szCs w:val="22"/>
              </w:rPr>
            </w:pPr>
            <w:r>
              <w:rPr>
                <w:rFonts w:eastAsia="Courier New" w:ascii="Cambria" w:hAnsi="Cambria"/>
                <w:sz w:val="22"/>
                <w:szCs w:val="22"/>
              </w:rPr>
            </w:r>
          </w:p>
        </w:tc>
        <w:tc>
          <w:tcPr>
            <w:tcW w:w="4086" w:type="dxa"/>
            <w:tcBorders>
              <w:left w:val="single" w:sz="4" w:space="0" w:color="000000"/>
              <w:bottom w:val="single" w:sz="4" w:space="0" w:color="000000"/>
              <w:right w:val="single" w:sz="4" w:space="0" w:color="000000"/>
            </w:tcBorders>
          </w:tcPr>
          <w:p>
            <w:pPr>
              <w:pStyle w:val="Normal"/>
              <w:spacing w:lineRule="auto" w:line="276"/>
              <w:jc w:val="center"/>
              <w:rPr>
                <w:rFonts w:ascii="Cambria" w:hAnsi="Cambria"/>
                <w:sz w:val="22"/>
                <w:szCs w:val="22"/>
              </w:rPr>
            </w:pPr>
            <w:r>
              <w:rPr>
                <w:rFonts w:ascii="Cambria" w:hAnsi="Cambria"/>
                <w:sz w:val="22"/>
                <w:szCs w:val="22"/>
              </w:rPr>
              <w:t>……</w:t>
            </w:r>
            <w:r>
              <w:rPr>
                <w:rFonts w:ascii="Cambria" w:hAnsi="Cambria"/>
                <w:sz w:val="22"/>
                <w:szCs w:val="22"/>
              </w:rPr>
              <w:t>. %</w:t>
            </w:r>
          </w:p>
        </w:tc>
      </w:tr>
    </w:tbl>
    <w:p>
      <w:pPr>
        <w:pStyle w:val="Normal"/>
        <w:spacing w:lineRule="auto" w:line="276"/>
        <w:ind w:left="567"/>
        <w:rPr/>
      </w:pPr>
      <w:r>
        <w:rPr>
          <w:rFonts w:ascii="Cambria" w:hAnsi="Cambria"/>
          <w:b/>
          <w:bCs/>
          <w:i/>
          <w:iCs/>
        </w:rPr>
        <w:t>UWAGA! W przypadku, gdy Wykonawca nie wypełni punktu ust 4 Zamawiający przyjmie, że Wykonawca nie przewiduje podwykonawstwa.</w:t>
      </w:r>
    </w:p>
    <w:p>
      <w:pPr>
        <w:pStyle w:val="Normal"/>
        <w:numPr>
          <w:ilvl w:val="0"/>
          <w:numId w:val="35"/>
        </w:numPr>
        <w:tabs>
          <w:tab w:val="clear" w:pos="708"/>
          <w:tab w:val="left" w:pos="396" w:leader="none"/>
        </w:tabs>
        <w:spacing w:lineRule="auto" w:line="276" w:before="114" w:after="114"/>
        <w:ind w:hanging="340" w:left="340"/>
        <w:jc w:val="both"/>
        <w:rPr>
          <w:rFonts w:ascii="Cambria" w:hAnsi="Cambria" w:eastAsia="Courier New"/>
          <w:sz w:val="22"/>
          <w:szCs w:val="22"/>
        </w:rPr>
      </w:pPr>
      <w:r>
        <w:rPr>
          <w:rFonts w:eastAsia="Courier New" w:ascii="Cambria" w:hAnsi="Cambria"/>
          <w:sz w:val="22"/>
          <w:szCs w:val="22"/>
        </w:rPr>
        <w:t xml:space="preserve">Informuję, że wybór oferty będzie / nie będzie*  prowadził do powstania u Zamawiającego obowiązku podatkowego zgodnie z przepisami o podatku od towarów i usług. </w:t>
      </w:r>
    </w:p>
    <w:p>
      <w:pPr>
        <w:pStyle w:val="Normal"/>
        <w:numPr>
          <w:ilvl w:val="0"/>
          <w:numId w:val="35"/>
        </w:numPr>
        <w:tabs>
          <w:tab w:val="clear" w:pos="708"/>
          <w:tab w:val="left" w:pos="396" w:leader="none"/>
        </w:tabs>
        <w:spacing w:lineRule="auto" w:line="276" w:before="114" w:after="114"/>
        <w:ind w:hanging="340" w:left="340"/>
        <w:jc w:val="both"/>
        <w:rPr>
          <w:rFonts w:ascii="Cambria" w:hAnsi="Cambria" w:eastAsia="Courier New"/>
          <w:sz w:val="22"/>
          <w:szCs w:val="22"/>
        </w:rPr>
      </w:pPr>
      <w:r>
        <w:rPr>
          <w:rFonts w:eastAsia="Courier New" w:ascii="Cambria" w:hAnsi="Cambria"/>
          <w:sz w:val="22"/>
          <w:szCs w:val="22"/>
        </w:rPr>
        <w:t>W przypadku, gdy wybór oferty będzie prowadził do powstania u Zamawiającego obowiązku należy wypełnić: Powyższy obowiązek podatkowy będzie dotyczył …………………………………………… (nazwa, rodzaj) towaru lub usługi objętych przedmiotem zamówienia, a ich wartość netto (bez kwoty podatku) będzie wynosiła …………………… PLN.</w:t>
      </w:r>
    </w:p>
    <w:p>
      <w:pPr>
        <w:pStyle w:val="Normal"/>
        <w:widowControl w:val="false"/>
        <w:overflowPunct w:val="true"/>
        <w:spacing w:lineRule="auto" w:line="276"/>
        <w:ind w:left="284"/>
        <w:jc w:val="both"/>
        <w:rPr>
          <w:rFonts w:ascii="Cambria" w:hAnsi="Cambria"/>
          <w:sz w:val="22"/>
          <w:szCs w:val="22"/>
        </w:rPr>
      </w:pPr>
      <w:r>
        <w:rPr>
          <w:rFonts w:ascii="Cambria" w:hAnsi="Cambria"/>
          <w:sz w:val="22"/>
          <w:szCs w:val="22"/>
        </w:rPr>
        <w:t>Powyższe dotyczy Wykonawców, których oferty będą generować obowiązek doliczania wartości podatku VAT do wartości netto oferty, tj. w przypadku:</w:t>
      </w:r>
    </w:p>
    <w:p>
      <w:pPr>
        <w:pStyle w:val="Normal"/>
        <w:widowControl w:val="false"/>
        <w:overflowPunct w:val="true"/>
        <w:spacing w:lineRule="auto" w:line="276"/>
        <w:ind w:hanging="170" w:left="680"/>
        <w:jc w:val="both"/>
        <w:rPr>
          <w:rFonts w:ascii="Cambria" w:hAnsi="Cambria"/>
          <w:sz w:val="22"/>
          <w:szCs w:val="22"/>
        </w:rPr>
      </w:pPr>
      <w:r>
        <w:rPr>
          <w:rFonts w:ascii="Cambria" w:hAnsi="Cambria"/>
          <w:sz w:val="22"/>
          <w:szCs w:val="22"/>
        </w:rPr>
        <w:t>- wewnątrzwspólnotowego nabycia towarów,</w:t>
      </w:r>
    </w:p>
    <w:p>
      <w:pPr>
        <w:pStyle w:val="Normal"/>
        <w:widowControl w:val="false"/>
        <w:overflowPunct w:val="true"/>
        <w:spacing w:lineRule="auto" w:line="276"/>
        <w:ind w:hanging="170" w:left="680"/>
        <w:jc w:val="both"/>
        <w:rPr>
          <w:rFonts w:ascii="Cambria" w:hAnsi="Cambria"/>
          <w:sz w:val="22"/>
          <w:szCs w:val="22"/>
        </w:rPr>
      </w:pPr>
      <w:r>
        <w:rPr>
          <w:rFonts w:ascii="Cambria" w:hAnsi="Cambria"/>
          <w:sz w:val="22"/>
          <w:szCs w:val="22"/>
        </w:rPr>
        <w:t>- mechanizmu odwróconego obciążenia, o którym mowa w art. 17 ust. 1 pkt 7 ustawy o podatku od towarów i usług,</w:t>
      </w:r>
    </w:p>
    <w:p>
      <w:pPr>
        <w:pStyle w:val="Normal"/>
        <w:widowControl w:val="false"/>
        <w:overflowPunct w:val="true"/>
        <w:spacing w:lineRule="auto" w:line="276"/>
        <w:ind w:hanging="170" w:left="680"/>
        <w:jc w:val="both"/>
        <w:rPr>
          <w:rFonts w:ascii="Cambria" w:hAnsi="Cambria"/>
          <w:sz w:val="22"/>
          <w:szCs w:val="22"/>
        </w:rPr>
      </w:pPr>
      <w:r>
        <w:rPr>
          <w:rFonts w:ascii="Cambria" w:hAnsi="Cambria"/>
          <w:sz w:val="22"/>
          <w:szCs w:val="22"/>
        </w:rPr>
        <w:t>- importu usług lub importu towarów, z którymi wiąże się obowiązek doliczenia przez  zamawiającego przy porównywaniu cen ofertowych podatku VAT</w:t>
      </w:r>
    </w:p>
    <w:p>
      <w:pPr>
        <w:pStyle w:val="Normal"/>
        <w:widowControl w:val="false"/>
        <w:overflowPunct w:val="true"/>
        <w:spacing w:lineRule="auto" w:line="276"/>
        <w:ind w:left="340"/>
        <w:jc w:val="both"/>
        <w:rPr>
          <w:rFonts w:ascii="Cambria" w:hAnsi="Cambria"/>
          <w:sz w:val="22"/>
          <w:szCs w:val="22"/>
        </w:rPr>
      </w:pPr>
      <w:r>
        <w:rPr>
          <w:rFonts w:ascii="Cambria" w:hAnsi="Cambria"/>
          <w:i/>
          <w:sz w:val="22"/>
          <w:szCs w:val="22"/>
        </w:rPr>
        <w:t xml:space="preserve">(jeżeli Wykonawca nie skreśli żadnego z wyżej wymienionych  punktów przyjmuje się, że złożył </w:t>
      </w:r>
    </w:p>
    <w:p>
      <w:pPr>
        <w:pStyle w:val="Normal"/>
        <w:widowControl w:val="false"/>
        <w:overflowPunct w:val="true"/>
        <w:spacing w:lineRule="auto" w:line="276"/>
        <w:ind w:left="340"/>
        <w:jc w:val="both"/>
        <w:rPr>
          <w:rFonts w:ascii="Cambria" w:hAnsi="Cambria"/>
          <w:sz w:val="22"/>
          <w:szCs w:val="22"/>
        </w:rPr>
      </w:pPr>
      <w:r>
        <w:rPr>
          <w:rFonts w:ascii="Cambria" w:hAnsi="Cambria"/>
          <w:i/>
          <w:sz w:val="22"/>
          <w:szCs w:val="22"/>
        </w:rPr>
        <w:t>oświadczenie o tym, że wybór jego oferty nie będzie prowadził  do obowiązku podatkowego po stronie Zamawiającego).</w:t>
      </w:r>
    </w:p>
    <w:p>
      <w:pPr>
        <w:pStyle w:val="Normal"/>
        <w:numPr>
          <w:ilvl w:val="0"/>
          <w:numId w:val="35"/>
        </w:numPr>
        <w:tabs>
          <w:tab w:val="clear" w:pos="708"/>
          <w:tab w:val="left" w:pos="396" w:leader="none"/>
        </w:tabs>
        <w:spacing w:lineRule="auto" w:line="276" w:before="114" w:after="114"/>
        <w:ind w:hanging="340" w:left="340"/>
        <w:jc w:val="both"/>
        <w:rPr>
          <w:rFonts w:ascii="Cambria" w:hAnsi="Cambria" w:eastAsia="Courier New"/>
          <w:sz w:val="22"/>
          <w:szCs w:val="22"/>
        </w:rPr>
      </w:pPr>
      <w:r>
        <w:rPr>
          <w:rFonts w:eastAsia="Courier New" w:ascii="Cambria" w:hAnsi="Cambria"/>
          <w:sz w:val="22"/>
          <w:szCs w:val="22"/>
        </w:rPr>
        <w:t>W przypadku wybrania naszej oferty deklarujemy wniesienie zabezpieczenia należytego wykonania umowy oraz podpisanie umowy zgodnie z wymaganiami przedstawionymi z SWZ.</w:t>
      </w:r>
    </w:p>
    <w:p>
      <w:pPr>
        <w:pStyle w:val="Normal"/>
        <w:numPr>
          <w:ilvl w:val="0"/>
          <w:numId w:val="35"/>
        </w:numPr>
        <w:tabs>
          <w:tab w:val="clear" w:pos="708"/>
          <w:tab w:val="left" w:pos="396" w:leader="none"/>
        </w:tabs>
        <w:spacing w:lineRule="auto" w:line="276" w:before="114" w:after="114"/>
        <w:ind w:hanging="340" w:left="340"/>
        <w:jc w:val="both"/>
        <w:rPr>
          <w:rFonts w:ascii="Cambria" w:hAnsi="Cambria" w:eastAsia="Courier New"/>
          <w:sz w:val="22"/>
          <w:szCs w:val="22"/>
        </w:rPr>
      </w:pPr>
      <w:r>
        <w:rPr>
          <w:rFonts w:eastAsia="Courier New" w:ascii="Cambria" w:hAnsi="Cambria"/>
          <w:sz w:val="22"/>
          <w:szCs w:val="22"/>
        </w:rPr>
        <w:t xml:space="preserve">Oświadczam, że jestem mikro-/małym/średnim przedsiębiorstwem </w:t>
      </w:r>
      <w:r>
        <w:rPr>
          <w:rFonts w:eastAsia="Courier New" w:ascii="Cambria" w:hAnsi="Cambria"/>
          <w:i/>
          <w:iCs/>
          <w:sz w:val="22"/>
          <w:szCs w:val="22"/>
        </w:rPr>
        <w:t>(właściwe podkreślić) :</w:t>
      </w:r>
    </w:p>
    <w:p>
      <w:pPr>
        <w:pStyle w:val="Normal"/>
        <w:widowControl w:val="false"/>
        <w:overflowPunct w:val="true"/>
        <w:spacing w:lineRule="auto" w:line="276"/>
        <w:ind w:hanging="170" w:left="680"/>
        <w:jc w:val="both"/>
        <w:rPr>
          <w:rFonts w:ascii="Cambria" w:hAnsi="Cambria"/>
          <w:sz w:val="22"/>
          <w:szCs w:val="22"/>
        </w:rPr>
      </w:pPr>
      <w:r>
        <w:rPr>
          <w:rFonts w:ascii="Cambria" w:hAnsi="Cambria"/>
          <w:sz w:val="22"/>
          <w:szCs w:val="22"/>
        </w:rPr>
        <w:t xml:space="preserve">- Mikroprzedsiębiorstwo: przedsiębiorstwo, które zatrudnia mniej niż 10 osób i którego roczny obrót lub roczna suma bilansowa nie przekracza 2 milionów EUR. </w:t>
      </w:r>
    </w:p>
    <w:p>
      <w:pPr>
        <w:pStyle w:val="Normal"/>
        <w:widowControl w:val="false"/>
        <w:overflowPunct w:val="true"/>
        <w:spacing w:lineRule="auto" w:line="276"/>
        <w:ind w:hanging="170" w:left="680"/>
        <w:jc w:val="both"/>
        <w:rPr>
          <w:rFonts w:ascii="Cambria" w:hAnsi="Cambria"/>
          <w:sz w:val="22"/>
          <w:szCs w:val="22"/>
        </w:rPr>
      </w:pPr>
      <w:r>
        <w:rPr>
          <w:rFonts w:ascii="Cambria" w:hAnsi="Cambria"/>
          <w:sz w:val="22"/>
          <w:szCs w:val="22"/>
        </w:rPr>
        <w:t xml:space="preserve">- Małe przedsiębiorstwo: przedsiębiorstwo, które zatrudnia mniej niż 50 osób i którego roczny obrót lub roczna suma bilansowa nie przekracza 10 milionów EUR. </w:t>
      </w:r>
    </w:p>
    <w:p>
      <w:pPr>
        <w:pStyle w:val="Normal"/>
        <w:widowControl w:val="false"/>
        <w:overflowPunct w:val="true"/>
        <w:spacing w:lineRule="auto" w:line="276"/>
        <w:ind w:hanging="170" w:left="680"/>
        <w:jc w:val="both"/>
        <w:rPr>
          <w:rFonts w:ascii="Cambria" w:hAnsi="Cambria"/>
          <w:sz w:val="22"/>
          <w:szCs w:val="22"/>
        </w:rPr>
      </w:pPr>
      <w:r>
        <w:rPr>
          <w:rFonts w:ascii="Cambria" w:hAnsi="Cambria"/>
          <w:sz w:val="22"/>
          <w:szCs w:val="22"/>
        </w:rPr>
        <w:t>-Średnie przedsiębiorstwa: przedsiębiorstwa, które nie są mikroprzedsiębiorstwami ani małymi przedsiębiorstwami i które zatrudniają mniej niż 250 osób i których roczny obrót nie przekracza 50 milionów EUR lub roczna suma bilansowa nie przekracza 43 milionów EUR.</w:t>
      </w:r>
    </w:p>
    <w:p>
      <w:pPr>
        <w:pStyle w:val="Normal"/>
        <w:widowControl w:val="false"/>
        <w:overflowPunct w:val="true"/>
        <w:spacing w:lineRule="auto" w:line="276"/>
        <w:ind w:left="680"/>
        <w:jc w:val="both"/>
        <w:rPr>
          <w:rFonts w:ascii="Cambria" w:hAnsi="Cambria"/>
          <w:i/>
          <w:i/>
          <w:sz w:val="22"/>
          <w:szCs w:val="22"/>
        </w:rPr>
      </w:pPr>
      <w:r>
        <w:rPr>
          <w:rFonts w:ascii="Cambria" w:hAnsi="Cambria"/>
          <w:i/>
          <w:sz w:val="22"/>
          <w:szCs w:val="22"/>
        </w:rPr>
        <w:t>Uwaga: w przypadku Wykonawców wspólnie ubiegających się o udzielenie zamówienia, składa się w/w informację w zakresie  poszczególnych Wykonawców.</w:t>
      </w:r>
    </w:p>
    <w:p>
      <w:pPr>
        <w:pStyle w:val="Normal"/>
        <w:numPr>
          <w:ilvl w:val="0"/>
          <w:numId w:val="35"/>
        </w:numPr>
        <w:tabs>
          <w:tab w:val="clear" w:pos="708"/>
          <w:tab w:val="left" w:pos="396" w:leader="none"/>
        </w:tabs>
        <w:spacing w:lineRule="auto" w:line="276" w:before="114" w:after="114"/>
        <w:ind w:hanging="340" w:left="340"/>
        <w:jc w:val="both"/>
        <w:rPr>
          <w:rFonts w:ascii="Cambria" w:hAnsi="Cambria" w:eastAsia="Courier New"/>
          <w:sz w:val="22"/>
          <w:szCs w:val="22"/>
        </w:rPr>
      </w:pPr>
      <w:r>
        <w:rPr>
          <w:rFonts w:eastAsia="Courier New" w:ascii="Cambria" w:hAnsi="Cambria"/>
          <w:sz w:val="22"/>
          <w:szCs w:val="22"/>
        </w:rPr>
        <w:t>Oferta:</w:t>
      </w:r>
    </w:p>
    <w:p>
      <w:pPr>
        <w:pStyle w:val="NormalWeb"/>
        <w:spacing w:lineRule="auto" w:line="276" w:before="0" w:after="120"/>
        <w:ind w:left="709"/>
        <w:jc w:val="both"/>
        <w:rPr>
          <w:rFonts w:ascii="Cambria" w:hAnsi="Cambria"/>
          <w:sz w:val="22"/>
          <w:szCs w:val="22"/>
        </w:rPr>
      </w:pPr>
      <w:r>
        <mc:AlternateContent>
          <mc:Choice Requires="wps">
            <w:drawing>
              <wp:anchor behindDoc="0" distT="5080" distB="5080" distL="5080" distR="5080" simplePos="0" locked="0" layoutInCell="0" allowOverlap="1" relativeHeight="40" wp14:anchorId="2D438C64">
                <wp:simplePos x="0" y="0"/>
                <wp:positionH relativeFrom="margin">
                  <wp:align>left</wp:align>
                </wp:positionH>
                <wp:positionV relativeFrom="paragraph">
                  <wp:posOffset>19050</wp:posOffset>
                </wp:positionV>
                <wp:extent cx="152400" cy="152400"/>
                <wp:effectExtent l="5080" t="5080" r="5080" b="5080"/>
                <wp:wrapNone/>
                <wp:docPr id="1" name="Prostokąt 3"/>
                <a:graphic xmlns:a="http://schemas.openxmlformats.org/drawingml/2006/main">
                  <a:graphicData uri="http://schemas.microsoft.com/office/word/2010/wordprocessingShape">
                    <wps:wsp>
                      <wps:cNvSpPr/>
                      <wps:spPr>
                        <a:xfrm>
                          <a:off x="0" y="0"/>
                          <a:ext cx="152280" cy="152280"/>
                        </a:xfrm>
                        <a:prstGeom prst="rect">
                          <a:avLst/>
                        </a:prstGeom>
                        <a:solidFill>
                          <a:srgbClr val="ffffff"/>
                        </a:solidFill>
                        <a:ln w="9525">
                          <a:solidFill>
                            <a:srgbClr val="000000"/>
                          </a:solidFill>
                          <a:miter/>
                        </a:ln>
                      </wps:spPr>
                      <wps:style>
                        <a:lnRef idx="0"/>
                        <a:fillRef idx="0"/>
                        <a:effectRef idx="0"/>
                        <a:fontRef idx="minor"/>
                      </wps:style>
                      <wps:bodyPr/>
                    </wps:wsp>
                  </a:graphicData>
                </a:graphic>
              </wp:anchor>
            </w:drawing>
          </mc:Choice>
          <mc:Fallback>
            <w:pict>
              <v:rect id="shape_0" ID="Prostokąt 3" path="m0,0l-2147483645,0l-2147483645,-2147483646l0,-2147483646xe" fillcolor="white" stroked="t" o:allowincell="f" style="position:absolute;margin-left:0.4pt;margin-top:1.5pt;width:11.95pt;height:11.95pt;mso-wrap-style:none;v-text-anchor:middle;mso-position-horizontal:left;mso-position-horizontal-relative:margin" wp14:anchorId="2D438C64">
                <v:fill o:detectmouseclick="t" type="solid" color2="black"/>
                <v:stroke color="black" weight="9360" joinstyle="miter" endcap="flat"/>
                <w10:wrap type="none"/>
              </v:rect>
            </w:pict>
          </mc:Fallback>
        </mc:AlternateContent>
      </w:r>
      <w:r>
        <w:rPr>
          <w:rFonts w:ascii="Cambria" w:hAnsi="Cambria"/>
          <w:bCs/>
          <w:sz w:val="22"/>
          <w:szCs w:val="22"/>
        </w:rPr>
        <w:t xml:space="preserve">nie zawiera informacji stanowiących tajemnicę przedsiębiorstwa, </w:t>
      </w:r>
      <w:r>
        <w:rPr>
          <w:rFonts w:ascii="Cambria" w:hAnsi="Cambria"/>
          <w:sz w:val="22"/>
          <w:szCs w:val="22"/>
        </w:rPr>
        <w:t>w rozumieniu przepisów o zwalczaniu nieuczciwej konkurencji.</w:t>
      </w:r>
    </w:p>
    <w:p>
      <w:pPr>
        <w:pStyle w:val="NormalWeb"/>
        <w:spacing w:lineRule="auto" w:line="276" w:before="0" w:after="360"/>
        <w:ind w:left="709"/>
        <w:jc w:val="both"/>
        <w:rPr>
          <w:rFonts w:ascii="Cambria" w:hAnsi="Cambria"/>
          <w:sz w:val="22"/>
          <w:szCs w:val="22"/>
        </w:rPr>
      </w:pPr>
      <w:r>
        <mc:AlternateContent>
          <mc:Choice Requires="wps">
            <w:drawing>
              <wp:anchor behindDoc="0" distT="5080" distB="5080" distL="5080" distR="5080" simplePos="0" locked="0" layoutInCell="0" allowOverlap="1" relativeHeight="41" wp14:anchorId="6DD28169">
                <wp:simplePos x="0" y="0"/>
                <wp:positionH relativeFrom="margin">
                  <wp:align>left</wp:align>
                </wp:positionH>
                <wp:positionV relativeFrom="paragraph">
                  <wp:posOffset>40640</wp:posOffset>
                </wp:positionV>
                <wp:extent cx="152400" cy="152400"/>
                <wp:effectExtent l="5080" t="5080" r="5080" b="5080"/>
                <wp:wrapNone/>
                <wp:docPr id="2" name="Prostokąt 4"/>
                <a:graphic xmlns:a="http://schemas.openxmlformats.org/drawingml/2006/main">
                  <a:graphicData uri="http://schemas.microsoft.com/office/word/2010/wordprocessingShape">
                    <wps:wsp>
                      <wps:cNvSpPr/>
                      <wps:spPr>
                        <a:xfrm>
                          <a:off x="0" y="0"/>
                          <a:ext cx="152280" cy="152280"/>
                        </a:xfrm>
                        <a:prstGeom prst="rect">
                          <a:avLst/>
                        </a:prstGeom>
                        <a:solidFill>
                          <a:srgbClr val="ffffff"/>
                        </a:solidFill>
                        <a:ln w="9525">
                          <a:solidFill>
                            <a:srgbClr val="000000"/>
                          </a:solidFill>
                          <a:miter/>
                        </a:ln>
                      </wps:spPr>
                      <wps:style>
                        <a:lnRef idx="0"/>
                        <a:fillRef idx="0"/>
                        <a:effectRef idx="0"/>
                        <a:fontRef idx="minor"/>
                      </wps:style>
                      <wps:bodyPr/>
                    </wps:wsp>
                  </a:graphicData>
                </a:graphic>
              </wp:anchor>
            </w:drawing>
          </mc:Choice>
          <mc:Fallback>
            <w:pict>
              <v:rect id="shape_0" ID="Prostokąt 4" path="m0,0l-2147483645,0l-2147483645,-2147483646l0,-2147483646xe" fillcolor="white" stroked="t" o:allowincell="f" style="position:absolute;margin-left:0.4pt;margin-top:3.2pt;width:11.95pt;height:11.95pt;mso-wrap-style:none;v-text-anchor:middle;mso-position-horizontal:left;mso-position-horizontal-relative:margin" wp14:anchorId="6DD28169">
                <v:fill o:detectmouseclick="t" type="solid" color2="black"/>
                <v:stroke color="black" weight="9360" joinstyle="miter" endcap="flat"/>
                <w10:wrap type="none"/>
              </v:rect>
            </w:pict>
          </mc:Fallback>
        </mc:AlternateContent>
      </w:r>
      <w:r>
        <w:rPr>
          <w:rFonts w:ascii="Cambria" w:hAnsi="Cambria"/>
          <w:bCs/>
          <w:sz w:val="22"/>
          <w:szCs w:val="22"/>
        </w:rPr>
        <w:t xml:space="preserve">zawiera informacje stanowiące tajemnicę przedsiębiorstwa </w:t>
      </w:r>
      <w:r>
        <w:rPr>
          <w:rFonts w:ascii="Cambria" w:hAnsi="Cambria"/>
          <w:sz w:val="22"/>
          <w:szCs w:val="22"/>
        </w:rPr>
        <w:t xml:space="preserve">w rozumieniu przepisów o zwalczaniu nieuczciwej konkurencji. </w:t>
      </w:r>
      <w:r>
        <w:rPr>
          <w:rFonts w:ascii="Cambria" w:hAnsi="Cambria"/>
          <w:bCs/>
          <w:sz w:val="22"/>
          <w:szCs w:val="22"/>
        </w:rPr>
        <w:t>Informacje te zawarte są i zabezpieczone stosownie do opisu znajdującego się w SIWZ.</w:t>
      </w:r>
    </w:p>
    <w:p>
      <w:pPr>
        <w:pStyle w:val="Normal"/>
        <w:widowControl w:val="false"/>
        <w:overflowPunct w:val="true"/>
        <w:spacing w:lineRule="auto" w:line="276" w:before="114" w:after="114"/>
        <w:ind w:left="680"/>
        <w:jc w:val="both"/>
        <w:rPr>
          <w:rFonts w:ascii="Cambria" w:hAnsi="Cambria"/>
          <w:i/>
          <w:i/>
          <w:sz w:val="22"/>
          <w:szCs w:val="22"/>
        </w:rPr>
      </w:pPr>
      <w:r>
        <w:rPr>
          <w:rFonts w:ascii="Cambria" w:hAnsi="Cambria"/>
          <w:i/>
          <w:sz w:val="22"/>
          <w:szCs w:val="22"/>
        </w:rPr>
        <w:t>Zaznaczyć właściwe. Brak zaznaczenia będzie oznaczał, iż Wykonawca nie dołącza do OFERTY informacji stanowiących tajemnicę przedsiębiorstwa.</w:t>
      </w:r>
    </w:p>
    <w:p>
      <w:pPr>
        <w:pStyle w:val="NormalWeb"/>
        <w:spacing w:lineRule="auto" w:line="276"/>
        <w:ind w:left="357"/>
        <w:jc w:val="both"/>
        <w:rPr>
          <w:rFonts w:ascii="Cambria" w:hAnsi="Cambria"/>
          <w:sz w:val="22"/>
          <w:szCs w:val="22"/>
        </w:rPr>
      </w:pPr>
      <w:r>
        <w:rPr>
          <w:rFonts w:ascii="Cambria" w:hAnsi="Cambria"/>
          <w:bCs/>
          <w:sz w:val="22"/>
          <w:szCs w:val="22"/>
        </w:rPr>
        <w:t xml:space="preserve">Uzasadnienie </w:t>
      </w:r>
      <w:r>
        <w:rPr>
          <w:rFonts w:ascii="Cambria" w:hAnsi="Cambria"/>
          <w:bCs/>
          <w:i/>
          <w:iCs/>
          <w:sz w:val="22"/>
          <w:szCs w:val="22"/>
        </w:rPr>
        <w:t>(należy wykazać, że zastrzeżone informacje stanowią tajemnicę przedsiębiorstwa)</w:t>
      </w:r>
      <w:r>
        <w:rPr>
          <w:rFonts w:ascii="Cambria" w:hAnsi="Cambria"/>
          <w:bCs/>
          <w:sz w:val="22"/>
          <w:szCs w:val="22"/>
        </w:rPr>
        <w:t>: ………………………………………………………………………………………...………………</w:t>
      </w:r>
    </w:p>
    <w:p>
      <w:pPr>
        <w:pStyle w:val="NormalWeb"/>
        <w:spacing w:lineRule="auto" w:line="276"/>
        <w:ind w:left="357"/>
        <w:jc w:val="both"/>
        <w:rPr>
          <w:rFonts w:ascii="Cambria" w:hAnsi="Cambria"/>
          <w:sz w:val="22"/>
          <w:szCs w:val="22"/>
        </w:rPr>
      </w:pPr>
      <w:r>
        <w:rPr>
          <w:rFonts w:ascii="Cambria" w:hAnsi="Cambria"/>
          <w:bCs/>
          <w:sz w:val="22"/>
          <w:szCs w:val="22"/>
        </w:rPr>
        <w:t>………………………………………………………………………………………………………………………………………</w:t>
      </w:r>
    </w:p>
    <w:p>
      <w:pPr>
        <w:pStyle w:val="NormalWeb"/>
        <w:spacing w:lineRule="auto" w:line="276"/>
        <w:ind w:left="357"/>
        <w:jc w:val="both"/>
        <w:rPr>
          <w:rFonts w:ascii="Cambria" w:hAnsi="Cambria"/>
          <w:sz w:val="22"/>
          <w:szCs w:val="22"/>
        </w:rPr>
      </w:pPr>
      <w:r>
        <w:rPr>
          <w:rFonts w:ascii="Cambria" w:hAnsi="Cambria"/>
          <w:bCs/>
          <w:sz w:val="22"/>
          <w:szCs w:val="22"/>
        </w:rPr>
        <w:t>Uzasadnienie można złożyć na osobnym podpisanym dokumencie.</w:t>
      </w:r>
    </w:p>
    <w:p>
      <w:pPr>
        <w:pStyle w:val="NormalWeb"/>
        <w:spacing w:lineRule="auto" w:line="276"/>
        <w:ind w:left="357"/>
        <w:jc w:val="both"/>
        <w:rPr>
          <w:rFonts w:ascii="Cambria" w:hAnsi="Cambria"/>
          <w:i/>
          <w:i/>
          <w:sz w:val="22"/>
          <w:szCs w:val="22"/>
          <w:lang w:eastAsia="ar-SA"/>
        </w:rPr>
      </w:pPr>
      <w:r>
        <w:rPr>
          <w:rFonts w:ascii="Cambria" w:hAnsi="Cambria"/>
          <w:i/>
          <w:sz w:val="22"/>
          <w:szCs w:val="22"/>
          <w:lang w:eastAsia="ar-SA"/>
        </w:rPr>
      </w:r>
    </w:p>
    <w:p>
      <w:pPr>
        <w:pStyle w:val="Normal"/>
        <w:numPr>
          <w:ilvl w:val="0"/>
          <w:numId w:val="35"/>
        </w:numPr>
        <w:tabs>
          <w:tab w:val="clear" w:pos="708"/>
          <w:tab w:val="left" w:pos="396" w:leader="none"/>
        </w:tabs>
        <w:spacing w:lineRule="auto" w:line="276" w:before="114" w:after="114"/>
        <w:ind w:hanging="340" w:left="340"/>
        <w:jc w:val="both"/>
        <w:rPr/>
      </w:pPr>
      <w:r>
        <w:rPr>
          <w:rFonts w:eastAsia="Courier New" w:ascii="Cambria" w:hAnsi="Cambria"/>
          <w:sz w:val="22"/>
          <w:szCs w:val="22"/>
        </w:rPr>
        <w:t>Korespon</w:t>
      </w:r>
      <w:r>
        <w:rPr>
          <w:rStyle w:val="FontStyle28"/>
          <w:rFonts w:eastAsia="Courier New" w:ascii="Cambria" w:hAnsi="Cambria"/>
          <w:sz w:val="22"/>
          <w:szCs w:val="22"/>
        </w:rPr>
        <w:t xml:space="preserve">dencję związaną z przedmiotowym postępowaniem prosimy kierować na adres: ………………………….………………………………………………………..………………………..………………………., </w:t>
      </w:r>
    </w:p>
    <w:p>
      <w:pPr>
        <w:pStyle w:val="Normal"/>
        <w:tabs>
          <w:tab w:val="clear" w:pos="708"/>
          <w:tab w:val="left" w:pos="396" w:leader="none"/>
        </w:tabs>
        <w:spacing w:lineRule="auto" w:line="276" w:before="114" w:after="114"/>
        <w:ind w:left="340"/>
        <w:jc w:val="both"/>
        <w:rPr/>
      </w:pPr>
      <w:r>
        <w:rPr>
          <w:rStyle w:val="FontStyle28"/>
          <w:rFonts w:eastAsia="Courier New" w:ascii="Cambria" w:hAnsi="Cambria"/>
          <w:sz w:val="22"/>
          <w:szCs w:val="22"/>
        </w:rPr>
        <w:t xml:space="preserve">ePUAP: …….………………………...………………, e-mail: …………………...…………………………...…………… </w:t>
      </w:r>
    </w:p>
    <w:p>
      <w:pPr>
        <w:pStyle w:val="Normal"/>
        <w:tabs>
          <w:tab w:val="clear" w:pos="708"/>
          <w:tab w:val="left" w:pos="396" w:leader="none"/>
        </w:tabs>
        <w:spacing w:lineRule="auto" w:line="276" w:before="114" w:after="114"/>
        <w:ind w:left="340"/>
        <w:jc w:val="both"/>
        <w:rPr/>
      </w:pPr>
      <w:r>
        <w:rPr>
          <w:rStyle w:val="FontStyle28"/>
          <w:rFonts w:eastAsia="Courier New" w:ascii="Cambria" w:hAnsi="Cambria"/>
          <w:sz w:val="22"/>
          <w:szCs w:val="22"/>
        </w:rPr>
        <w:t xml:space="preserve">osobą do kontaktów jest ……………………………………………………………………….. </w:t>
      </w:r>
      <w:r>
        <w:rPr>
          <w:rStyle w:val="FontStyle28"/>
          <w:rFonts w:eastAsia="Courier New" w:ascii="Cambria" w:hAnsi="Cambria"/>
          <w:i/>
          <w:iCs/>
          <w:sz w:val="22"/>
          <w:szCs w:val="22"/>
        </w:rPr>
        <w:t>(imię i nazwisko)</w:t>
      </w:r>
    </w:p>
    <w:p>
      <w:pPr>
        <w:pStyle w:val="Normal"/>
        <w:tabs>
          <w:tab w:val="clear" w:pos="708"/>
          <w:tab w:val="left" w:pos="396" w:leader="none"/>
        </w:tabs>
        <w:spacing w:lineRule="auto" w:line="276" w:before="114" w:after="114"/>
        <w:ind w:left="340"/>
        <w:jc w:val="both"/>
        <w:rPr/>
      </w:pPr>
      <w:r>
        <w:rPr>
          <w:rStyle w:val="FontStyle28"/>
          <w:rFonts w:eastAsia="Courier New" w:ascii="Cambria" w:hAnsi="Cambria"/>
          <w:sz w:val="22"/>
          <w:szCs w:val="22"/>
        </w:rPr>
        <w:t xml:space="preserve">Dane wykonawcy: NIP / REGON / PESEL </w:t>
      </w:r>
    </w:p>
    <w:p>
      <w:pPr>
        <w:pStyle w:val="Normal"/>
        <w:tabs>
          <w:tab w:val="clear" w:pos="708"/>
          <w:tab w:val="left" w:pos="396" w:leader="none"/>
        </w:tabs>
        <w:spacing w:lineRule="auto" w:line="276" w:before="114" w:after="114"/>
        <w:ind w:left="340"/>
        <w:jc w:val="both"/>
        <w:rPr/>
      </w:pPr>
      <w:r>
        <w:rPr>
          <w:rStyle w:val="FontStyle28"/>
          <w:rFonts w:eastAsia="Courier New" w:ascii="Cambria" w:hAnsi="Cambria"/>
          <w:sz w:val="22"/>
          <w:szCs w:val="22"/>
        </w:rPr>
        <w:t>…………………………………………………………………………………………</w:t>
      </w:r>
      <w:r>
        <w:rPr>
          <w:rStyle w:val="FontStyle28"/>
          <w:rFonts w:eastAsia="Courier New" w:ascii="Cambria" w:hAnsi="Cambria"/>
          <w:sz w:val="22"/>
          <w:szCs w:val="22"/>
        </w:rPr>
        <w:t>...…………………………………………..</w:t>
      </w:r>
    </w:p>
    <w:p>
      <w:pPr>
        <w:pStyle w:val="Normal"/>
        <w:spacing w:lineRule="auto" w:line="276"/>
        <w:jc w:val="both"/>
        <w:rPr>
          <w:rFonts w:ascii="Cambria" w:hAnsi="Cambria" w:eastAsia="Courier New"/>
          <w:sz w:val="22"/>
          <w:szCs w:val="22"/>
        </w:rPr>
      </w:pPr>
      <w:r>
        <w:rPr>
          <w:rFonts w:eastAsia="Courier New" w:ascii="Cambria" w:hAnsi="Cambria"/>
          <w:sz w:val="22"/>
          <w:szCs w:val="22"/>
        </w:rPr>
      </w:r>
    </w:p>
    <w:p>
      <w:pPr>
        <w:pStyle w:val="Normal"/>
        <w:numPr>
          <w:ilvl w:val="0"/>
          <w:numId w:val="35"/>
        </w:numPr>
        <w:tabs>
          <w:tab w:val="clear" w:pos="708"/>
          <w:tab w:val="left" w:pos="396" w:leader="none"/>
        </w:tabs>
        <w:spacing w:lineRule="auto" w:line="276" w:before="114" w:after="114"/>
        <w:ind w:hanging="340" w:left="340"/>
        <w:jc w:val="both"/>
        <w:rPr>
          <w:rFonts w:ascii="Cambria" w:hAnsi="Cambria" w:eastAsia="Courier New"/>
          <w:sz w:val="22"/>
          <w:szCs w:val="22"/>
        </w:rPr>
      </w:pPr>
      <w:r>
        <w:rPr>
          <w:rFonts w:eastAsia="Courier New" w:ascii="Cambria" w:hAnsi="Cambria"/>
          <w:sz w:val="22"/>
          <w:szCs w:val="22"/>
        </w:rPr>
        <w:t>Załącznikami do niniejszej oferty są:</w:t>
      </w:r>
    </w:p>
    <w:p>
      <w:pPr>
        <w:pStyle w:val="Normal"/>
        <w:tabs>
          <w:tab w:val="clear" w:pos="708"/>
          <w:tab w:val="left" w:pos="396" w:leader="none"/>
        </w:tabs>
        <w:spacing w:lineRule="auto" w:line="276" w:before="114" w:after="114"/>
        <w:ind w:left="340"/>
        <w:jc w:val="both"/>
        <w:rPr/>
      </w:pPr>
      <w:r>
        <w:rPr>
          <w:rStyle w:val="FontStyle28"/>
          <w:rFonts w:eastAsia="Courier New" w:ascii="Cambria" w:hAnsi="Cambria"/>
          <w:sz w:val="22"/>
          <w:szCs w:val="22"/>
        </w:rPr>
        <w:t>…………………………………………………………………………………………</w:t>
      </w:r>
      <w:r>
        <w:rPr>
          <w:rStyle w:val="FontStyle28"/>
          <w:rFonts w:eastAsia="Courier New" w:ascii="Cambria" w:hAnsi="Cambria"/>
          <w:sz w:val="22"/>
          <w:szCs w:val="22"/>
        </w:rPr>
        <w:t>...…………………………………………..…………………………………………………………………………………………...…………………………………………..…………………………………………………………………………………………...…………………………………………..…………………………………………………………………………………………...…………………………………………..</w:t>
      </w:r>
    </w:p>
    <w:p>
      <w:pPr>
        <w:pStyle w:val="Normal"/>
        <w:spacing w:lineRule="auto" w:line="276"/>
        <w:jc w:val="both"/>
        <w:rPr>
          <w:rFonts w:ascii="Cambria" w:hAnsi="Cambria"/>
          <w:sz w:val="22"/>
          <w:szCs w:val="22"/>
        </w:rPr>
      </w:pPr>
      <w:r>
        <w:rPr>
          <w:rFonts w:ascii="Cambria" w:hAnsi="Cambria"/>
          <w:sz w:val="22"/>
          <w:szCs w:val="22"/>
        </w:rPr>
      </w:r>
    </w:p>
    <w:p>
      <w:pPr>
        <w:pStyle w:val="Normal"/>
        <w:numPr>
          <w:ilvl w:val="0"/>
          <w:numId w:val="35"/>
        </w:numPr>
        <w:tabs>
          <w:tab w:val="clear" w:pos="708"/>
          <w:tab w:val="left" w:pos="396" w:leader="none"/>
        </w:tabs>
        <w:spacing w:lineRule="auto" w:line="276" w:before="114" w:after="114"/>
        <w:ind w:hanging="340" w:left="340"/>
        <w:jc w:val="both"/>
        <w:rPr>
          <w:rFonts w:ascii="Cambria" w:hAnsi="Cambria" w:eastAsia="Courier New"/>
          <w:sz w:val="22"/>
          <w:szCs w:val="22"/>
        </w:rPr>
      </w:pPr>
      <w:r>
        <w:rPr>
          <w:rFonts w:eastAsia="Courier New" w:ascii="Cambria" w:hAnsi="Cambria"/>
          <w:sz w:val="22"/>
          <w:szCs w:val="22"/>
        </w:rPr>
        <w:t>Oświadczam, że wypełniłem obowiązki informacyjne przewidziane w art. 13 lub art. 14 RODO</w:t>
      </w:r>
      <w:r>
        <w:rPr>
          <w:rFonts w:eastAsia="Courier New" w:ascii="Cambria" w:hAnsi="Cambria"/>
          <w:sz w:val="22"/>
          <w:szCs w:val="22"/>
          <w:vertAlign w:val="superscript"/>
        </w:rPr>
        <w:t>1)</w:t>
      </w:r>
      <w:r>
        <w:rPr>
          <w:rFonts w:eastAsia="Courier New" w:ascii="Cambria" w:hAnsi="Cambria"/>
          <w:sz w:val="22"/>
          <w:szCs w:val="22"/>
        </w:rPr>
        <w:t xml:space="preserve"> wobec osób fizycznych, od których dane osobowe bezpośrednio lub pośrednio pozyskałem w celu ubiegania się o udzielenie zamówienia publicznego w niniejszym postępowaniu.*</w:t>
      </w:r>
    </w:p>
    <w:p>
      <w:pPr>
        <w:pStyle w:val="Normal"/>
        <w:tabs>
          <w:tab w:val="clear" w:pos="708"/>
          <w:tab w:val="left" w:pos="732" w:leader="none"/>
        </w:tabs>
        <w:spacing w:lineRule="auto" w:line="276"/>
        <w:ind w:left="397"/>
        <w:jc w:val="both"/>
        <w:rPr>
          <w:i/>
          <w:i/>
          <w:iCs/>
        </w:rPr>
      </w:pPr>
      <w:r>
        <w:rPr>
          <w:rFonts w:eastAsia="Courier New" w:ascii="Cambria" w:hAnsi="Cambria"/>
          <w:i/>
          <w:iCs/>
          <w:sz w:val="22"/>
          <w:szCs w:val="22"/>
        </w:rPr>
        <w:t>*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p>
      <w:pPr>
        <w:pStyle w:val="Normal"/>
        <w:spacing w:lineRule="auto" w:line="276"/>
        <w:ind w:left="397"/>
        <w:jc w:val="both"/>
        <w:rPr>
          <w:i/>
          <w:i/>
          <w:iCs/>
        </w:rPr>
      </w:pPr>
      <w:r>
        <w:rPr>
          <w:rFonts w:eastAsia="Courier New" w:ascii="Cambria" w:hAnsi="Cambria"/>
          <w:i/>
          <w:iCs/>
          <w:sz w:val="22"/>
          <w:szCs w:val="22"/>
          <w:vertAlign w:val="superscript"/>
        </w:rPr>
        <w:t>1)</w:t>
      </w:r>
      <w:r>
        <w:rPr>
          <w:rFonts w:eastAsia="Courier New" w:ascii="Cambria" w:hAnsi="Cambria"/>
          <w:i/>
          <w:iCs/>
          <w:sz w:val="22"/>
          <w:szCs w:val="22"/>
        </w:rPr>
        <w:t xml:space="preserve"> 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w:t>
      </w:r>
    </w:p>
    <w:p>
      <w:pPr>
        <w:pStyle w:val="Normal"/>
        <w:tabs>
          <w:tab w:val="clear" w:pos="708"/>
          <w:tab w:val="left" w:pos="396" w:leader="none"/>
        </w:tabs>
        <w:spacing w:lineRule="auto" w:line="276" w:before="114" w:after="114"/>
        <w:ind w:left="340"/>
        <w:jc w:val="both"/>
        <w:rPr>
          <w:rFonts w:ascii="Cambria" w:hAnsi="Cambria" w:eastAsia="Courier New"/>
          <w:sz w:val="22"/>
          <w:szCs w:val="22"/>
        </w:rPr>
      </w:pPr>
      <w:r>
        <w:rPr>
          <w:rFonts w:eastAsia="Courier New" w:ascii="Cambria" w:hAnsi="Cambria"/>
          <w:sz w:val="22"/>
          <w:szCs w:val="22"/>
        </w:rPr>
      </w:r>
    </w:p>
    <w:p>
      <w:pPr>
        <w:pStyle w:val="Normal"/>
        <w:tabs>
          <w:tab w:val="clear" w:pos="708"/>
          <w:tab w:val="left" w:pos="396" w:leader="none"/>
        </w:tabs>
        <w:spacing w:lineRule="auto" w:line="276" w:before="114" w:after="114"/>
        <w:ind w:left="340"/>
        <w:jc w:val="both"/>
        <w:rPr>
          <w:rFonts w:ascii="Cambria" w:hAnsi="Cambria" w:eastAsia="Courier New"/>
          <w:sz w:val="22"/>
          <w:szCs w:val="22"/>
        </w:rPr>
      </w:pPr>
      <w:r>
        <w:rPr>
          <w:rFonts w:eastAsia="Courier New" w:ascii="Cambria" w:hAnsi="Cambria"/>
          <w:sz w:val="22"/>
          <w:szCs w:val="22"/>
        </w:rPr>
      </w:r>
    </w:p>
    <w:p>
      <w:pPr>
        <w:pStyle w:val="Normal"/>
        <w:spacing w:lineRule="auto" w:line="276"/>
        <w:rPr>
          <w:rFonts w:ascii="Cambria" w:hAnsi="Cambria" w:eastAsia="Courier New"/>
          <w:sz w:val="22"/>
          <w:szCs w:val="22"/>
        </w:rPr>
      </w:pPr>
      <w:r>
        <w:rPr>
          <w:rFonts w:eastAsia="Courier New" w:ascii="Cambria" w:hAnsi="Cambria"/>
          <w:sz w:val="22"/>
          <w:szCs w:val="22"/>
        </w:rPr>
      </w:r>
    </w:p>
    <w:p>
      <w:pPr>
        <w:pStyle w:val="Normal"/>
        <w:spacing w:lineRule="auto" w:line="276"/>
        <w:rPr>
          <w:rFonts w:ascii="Cambria" w:hAnsi="Cambria"/>
          <w:sz w:val="22"/>
          <w:szCs w:val="22"/>
        </w:rPr>
      </w:pPr>
      <w:r>
        <w:rPr>
          <w:rFonts w:eastAsia="Courier New" w:ascii="Cambria" w:hAnsi="Cambria"/>
          <w:sz w:val="22"/>
          <w:szCs w:val="22"/>
        </w:rPr>
        <w:t>...........................................................</w:t>
      </w:r>
    </w:p>
    <w:p>
      <w:pPr>
        <w:pStyle w:val="Normal"/>
        <w:spacing w:lineRule="auto" w:line="276"/>
        <w:rPr>
          <w:rFonts w:ascii="Cambria" w:hAnsi="Cambria"/>
          <w:sz w:val="22"/>
          <w:szCs w:val="22"/>
        </w:rPr>
      </w:pPr>
      <w:r>
        <w:rPr>
          <w:rFonts w:eastAsia="Courier New" w:ascii="Cambria" w:hAnsi="Cambria"/>
          <w:sz w:val="22"/>
          <w:szCs w:val="22"/>
        </w:rPr>
        <w:t>Miejscowość, data</w:t>
        <w:tab/>
        <w:tab/>
        <w:tab/>
        <w:tab/>
        <w:tab/>
        <w:t>...........................................................</w:t>
      </w:r>
    </w:p>
    <w:p>
      <w:pPr>
        <w:pStyle w:val="Normal"/>
        <w:spacing w:lineRule="auto" w:line="276"/>
        <w:ind w:left="4956"/>
        <w:rPr>
          <w:rFonts w:ascii="Cambria" w:hAnsi="Cambria"/>
          <w:sz w:val="22"/>
          <w:szCs w:val="22"/>
        </w:rPr>
      </w:pPr>
      <w:r>
        <w:rPr>
          <w:rFonts w:ascii="Cambria" w:hAnsi="Cambria"/>
          <w:i/>
          <w:sz w:val="22"/>
          <w:szCs w:val="22"/>
        </w:rPr>
        <w:t>podpisy i pieczęcie osób upoważnionych do reprezentowania oferenta na podstawie wpisu do rejestru lub ewidencji albo na podstawie udzielonego pełnomocnictw</w:t>
      </w:r>
    </w:p>
    <w:p>
      <w:pPr>
        <w:pStyle w:val="Normal"/>
        <w:shd w:val="clear" w:color="auto" w:fill="FFFFFF"/>
        <w:spacing w:lineRule="auto" w:line="276"/>
        <w:jc w:val="both"/>
        <w:rPr>
          <w:rFonts w:ascii="Cambria" w:hAnsi="Cambria"/>
          <w:sz w:val="22"/>
          <w:szCs w:val="22"/>
        </w:rPr>
      </w:pPr>
      <w:r>
        <w:rPr>
          <w:rFonts w:eastAsia="Calibri" w:ascii="Cambria" w:hAnsi="Cambria"/>
          <w:b/>
          <w:sz w:val="22"/>
          <w:szCs w:val="22"/>
          <w:lang w:eastAsia="en-US"/>
        </w:rPr>
        <w:t xml:space="preserve">Uwaga: </w:t>
      </w:r>
    </w:p>
    <w:p>
      <w:pPr>
        <w:pStyle w:val="Normal"/>
        <w:spacing w:lineRule="auto" w:line="276"/>
        <w:jc w:val="both"/>
        <w:rPr>
          <w:rFonts w:ascii="Cambria" w:hAnsi="Cambria"/>
          <w:sz w:val="22"/>
          <w:szCs w:val="22"/>
        </w:rPr>
      </w:pPr>
      <w:r>
        <w:rPr>
          <w:rFonts w:eastAsia="Calibri" w:ascii="Cambria" w:hAnsi="Cambria"/>
          <w:bCs/>
          <w:sz w:val="22"/>
          <w:szCs w:val="22"/>
          <w:lang w:eastAsia="en-US"/>
        </w:rPr>
        <w:t>1. Zamawiający zaleca, przed podpisaniem, zapisanie niniejszego dokumentu w formacie .pdf.</w:t>
      </w:r>
    </w:p>
    <w:p>
      <w:pPr>
        <w:pStyle w:val="Normal"/>
        <w:spacing w:lineRule="auto" w:line="276"/>
        <w:jc w:val="both"/>
        <w:rPr>
          <w:rFonts w:ascii="Cambria" w:hAnsi="Cambria"/>
          <w:sz w:val="22"/>
          <w:szCs w:val="22"/>
        </w:rPr>
      </w:pPr>
      <w:bookmarkStart w:id="10" w:name="_Hlk66566611"/>
      <w:r>
        <w:rPr>
          <w:rFonts w:eastAsia="Calibri" w:ascii="Cambria" w:hAnsi="Cambria"/>
          <w:bCs/>
          <w:sz w:val="22"/>
          <w:szCs w:val="22"/>
          <w:lang w:eastAsia="en-US"/>
        </w:rPr>
        <w:t>2. Formularz oferty musi być opatrzony przez osobę lub osoby uprawnione do reprezentowania Wykonawcy, kwalifikowanym podpisem elektronicznym lub podpisem zaufanym lub podpisem osobistym.</w:t>
      </w:r>
      <w:bookmarkEnd w:id="10"/>
    </w:p>
    <w:p>
      <w:pPr>
        <w:pStyle w:val="ListParagraph"/>
        <w:spacing w:lineRule="auto" w:line="276" w:before="120" w:after="0"/>
        <w:ind w:left="0"/>
        <w:contextualSpacing/>
        <w:jc w:val="both"/>
        <w:rPr>
          <w:rFonts w:ascii="Cambria" w:hAnsi="Cambria"/>
          <w:color w:val="FF0000"/>
          <w:sz w:val="22"/>
          <w:szCs w:val="22"/>
        </w:rPr>
      </w:pPr>
      <w:r>
        <w:rPr>
          <w:rFonts w:ascii="Cambria" w:hAnsi="Cambria"/>
          <w:color w:val="FF0000"/>
          <w:sz w:val="22"/>
          <w:szCs w:val="22"/>
        </w:rPr>
      </w:r>
    </w:p>
    <w:p>
      <w:pPr>
        <w:pStyle w:val="ListParagraph"/>
        <w:spacing w:lineRule="auto" w:line="276" w:before="120" w:after="0"/>
        <w:ind w:left="0"/>
        <w:contextualSpacing/>
        <w:jc w:val="both"/>
        <w:rPr>
          <w:rFonts w:ascii="Cambria" w:hAnsi="Cambria"/>
          <w:color w:val="FF0000"/>
          <w:sz w:val="22"/>
          <w:szCs w:val="22"/>
        </w:rPr>
      </w:pPr>
      <w:r>
        <w:rPr>
          <w:rFonts w:ascii="Cambria" w:hAnsi="Cambria"/>
          <w:color w:val="FF0000"/>
          <w:sz w:val="22"/>
          <w:szCs w:val="22"/>
        </w:rPr>
      </w:r>
    </w:p>
    <w:p>
      <w:pPr>
        <w:pStyle w:val="ListParagraph"/>
        <w:spacing w:lineRule="auto" w:line="276" w:before="120" w:after="0"/>
        <w:ind w:left="0"/>
        <w:contextualSpacing/>
        <w:jc w:val="both"/>
        <w:rPr>
          <w:rFonts w:ascii="Cambria" w:hAnsi="Cambria"/>
          <w:color w:val="FF0000"/>
          <w:sz w:val="22"/>
          <w:szCs w:val="22"/>
        </w:rPr>
      </w:pPr>
      <w:r>
        <w:rPr>
          <w:rFonts w:ascii="Cambria" w:hAnsi="Cambria"/>
          <w:color w:val="FF0000"/>
          <w:sz w:val="22"/>
          <w:szCs w:val="22"/>
        </w:rPr>
      </w:r>
    </w:p>
    <w:p>
      <w:pPr>
        <w:pStyle w:val="Normal"/>
        <w:spacing w:lineRule="auto" w:line="276"/>
        <w:jc w:val="right"/>
        <w:rPr>
          <w:rFonts w:ascii="Cambria" w:hAnsi="Cambria"/>
          <w:b/>
          <w:bCs/>
          <w:i/>
          <w:i/>
          <w:iCs/>
          <w:sz w:val="22"/>
          <w:szCs w:val="22"/>
        </w:rPr>
      </w:pPr>
      <w:r>
        <w:rPr>
          <w:rFonts w:ascii="Cambria" w:hAnsi="Cambria"/>
          <w:b/>
          <w:bCs/>
          <w:i/>
          <w:iCs/>
          <w:sz w:val="22"/>
          <w:szCs w:val="22"/>
        </w:rPr>
      </w:r>
      <w:r>
        <w:br w:type="page"/>
      </w:r>
    </w:p>
    <w:p>
      <w:pPr>
        <w:pStyle w:val="Normal"/>
        <w:spacing w:lineRule="auto" w:line="276" w:before="0" w:after="0"/>
        <w:jc w:val="right"/>
        <w:rPr>
          <w:rFonts w:ascii="Cambria" w:hAnsi="Cambria"/>
          <w:b/>
          <w:bCs/>
          <w:i/>
          <w:i/>
          <w:iCs/>
          <w:sz w:val="22"/>
          <w:szCs w:val="22"/>
        </w:rPr>
      </w:pPr>
      <w:r>
        <w:rPr>
          <w:rFonts w:ascii="Cambria" w:hAnsi="Cambria"/>
          <w:b/>
          <w:bCs/>
          <w:i/>
          <w:iCs/>
          <w:sz w:val="22"/>
          <w:szCs w:val="22"/>
          <w:lang w:eastAsia="ar-SA"/>
        </w:rPr>
        <w:t xml:space="preserve">Załącznik  Nr 2 do SWZ </w:t>
      </w:r>
    </w:p>
    <w:p>
      <w:pPr>
        <w:pStyle w:val="Normal"/>
        <w:shd w:val="clear" w:color="auto" w:fill="FFFFFF"/>
        <w:spacing w:lineRule="auto" w:line="276"/>
        <w:jc w:val="right"/>
        <w:rPr>
          <w:rFonts w:ascii="Cambria" w:hAnsi="Cambria"/>
          <w:b/>
          <w:bCs/>
          <w:sz w:val="22"/>
          <w:szCs w:val="22"/>
          <w:lang w:eastAsia="ar-SA"/>
        </w:rPr>
      </w:pPr>
      <w:r>
        <w:rPr>
          <w:rFonts w:ascii="Cambria" w:hAnsi="Cambria"/>
          <w:b/>
          <w:bCs/>
          <w:sz w:val="22"/>
          <w:szCs w:val="22"/>
          <w:lang w:eastAsia="ar-SA"/>
        </w:rPr>
      </w:r>
    </w:p>
    <w:p>
      <w:pPr>
        <w:pStyle w:val="Normal"/>
        <w:spacing w:lineRule="auto" w:line="276" w:before="120" w:after="120"/>
        <w:rPr>
          <w:rFonts w:ascii="Cambria" w:hAnsi="Cambria" w:cs="Arial"/>
          <w:b/>
          <w:i/>
          <w:i/>
          <w:sz w:val="22"/>
          <w:szCs w:val="22"/>
        </w:rPr>
      </w:pPr>
      <w:r>
        <w:rPr>
          <w:rFonts w:cs="Arial" w:ascii="Cambria" w:hAnsi="Cambria"/>
          <w:b/>
          <w:i/>
          <w:sz w:val="22"/>
          <w:szCs w:val="22"/>
        </w:rPr>
      </w:r>
    </w:p>
    <w:p>
      <w:pPr>
        <w:pStyle w:val="Nagwek31"/>
        <w:tabs>
          <w:tab w:val="clear" w:pos="708"/>
          <w:tab w:val="left" w:pos="720" w:leader="none"/>
        </w:tabs>
        <w:spacing w:lineRule="auto" w:line="276" w:before="120" w:after="120"/>
        <w:ind w:hanging="720" w:left="720"/>
        <w:jc w:val="center"/>
        <w:rPr>
          <w:rFonts w:ascii="Cambria" w:hAnsi="Cambria"/>
          <w:smallCaps/>
          <w:sz w:val="22"/>
          <w:szCs w:val="22"/>
        </w:rPr>
      </w:pPr>
      <w:r>
        <w:rPr>
          <w:rFonts w:ascii="Cambria" w:hAnsi="Cambria"/>
          <w:smallCaps/>
          <w:sz w:val="22"/>
          <w:szCs w:val="22"/>
        </w:rPr>
        <w:t xml:space="preserve">Oświadczenie  Wykonawcy </w:t>
      </w:r>
    </w:p>
    <w:p>
      <w:pPr>
        <w:pStyle w:val="Nagwek31"/>
        <w:tabs>
          <w:tab w:val="clear" w:pos="708"/>
          <w:tab w:val="left" w:pos="720" w:leader="none"/>
        </w:tabs>
        <w:spacing w:lineRule="auto" w:line="276" w:before="120" w:after="120"/>
        <w:ind w:hanging="720" w:left="720"/>
        <w:jc w:val="center"/>
        <w:rPr>
          <w:rFonts w:ascii="Cambria" w:hAnsi="Cambria"/>
          <w:smallCaps/>
          <w:sz w:val="22"/>
          <w:szCs w:val="22"/>
        </w:rPr>
      </w:pPr>
      <w:r>
        <w:rPr>
          <w:rFonts w:ascii="Cambria" w:hAnsi="Cambria"/>
          <w:smallCaps/>
          <w:sz w:val="22"/>
          <w:szCs w:val="22"/>
        </w:rPr>
        <w:t>o spełnieniu warunków udziału w postępowaniu</w:t>
      </w:r>
    </w:p>
    <w:p>
      <w:pPr>
        <w:pStyle w:val="Normal"/>
        <w:tabs>
          <w:tab w:val="clear" w:pos="708"/>
          <w:tab w:val="left" w:pos="567" w:leader="none"/>
          <w:tab w:val="left" w:pos="993" w:leader="none"/>
          <w:tab w:val="left" w:pos="1276" w:leader="none"/>
        </w:tabs>
        <w:spacing w:lineRule="auto" w:line="276" w:before="120" w:after="120"/>
        <w:jc w:val="center"/>
        <w:rPr>
          <w:rFonts w:ascii="Cambria" w:hAnsi="Cambria" w:cs="Arial"/>
          <w:sz w:val="22"/>
          <w:szCs w:val="22"/>
        </w:rPr>
      </w:pPr>
      <w:r>
        <w:rPr>
          <w:rFonts w:cs="Arial" w:ascii="Cambria" w:hAnsi="Cambria"/>
          <w:sz w:val="22"/>
          <w:szCs w:val="22"/>
        </w:rPr>
      </w:r>
    </w:p>
    <w:p>
      <w:pPr>
        <w:pStyle w:val="Normal"/>
        <w:spacing w:lineRule="auto" w:line="276" w:before="0" w:after="0"/>
        <w:contextualSpacing/>
        <w:jc w:val="both"/>
        <w:rPr>
          <w:rFonts w:ascii="Cambria" w:hAnsi="Cambria"/>
          <w:sz w:val="22"/>
          <w:szCs w:val="22"/>
        </w:rPr>
      </w:pPr>
      <w:r>
        <w:rPr>
          <w:rFonts w:ascii="Cambria" w:hAnsi="Cambria"/>
          <w:b/>
          <w:bCs/>
          <w:sz w:val="22"/>
          <w:szCs w:val="22"/>
          <w:lang w:eastAsia="ar-SA"/>
        </w:rPr>
        <w:t xml:space="preserve">Tytuł zamówienia: </w:t>
      </w:r>
    </w:p>
    <w:p>
      <w:pPr>
        <w:pStyle w:val="Normal"/>
        <w:spacing w:lineRule="auto" w:line="360"/>
        <w:jc w:val="center"/>
        <w:rPr>
          <w:i/>
          <w:i/>
          <w:iCs/>
        </w:rPr>
      </w:pPr>
      <w:r>
        <w:rPr>
          <w:rStyle w:val="FontStyle28"/>
          <w:rFonts w:cs="Calibri" w:ascii="Cambria" w:hAnsi="Cambria"/>
          <w:b/>
          <w:bCs/>
          <w:i/>
          <w:iCs/>
          <w:sz w:val="22"/>
          <w:szCs w:val="22"/>
          <w:lang w:eastAsia="pl-PL"/>
        </w:rPr>
        <w:t>„</w:t>
      </w:r>
      <w:r>
        <w:rPr>
          <w:rStyle w:val="FontStyle28"/>
          <w:rFonts w:cs="Calibri" w:ascii="Cambria" w:hAnsi="Cambria"/>
          <w:b/>
          <w:bCs/>
          <w:i/>
          <w:iCs/>
          <w:sz w:val="22"/>
          <w:szCs w:val="22"/>
          <w:lang w:eastAsia="pl-PL"/>
        </w:rPr>
        <w:t>Budowa budynku służącego celom kulturalnym i społecznym w Rzeplinie”</w:t>
      </w:r>
    </w:p>
    <w:p>
      <w:pPr>
        <w:pStyle w:val="Normal"/>
        <w:spacing w:lineRule="auto" w:line="276" w:before="0" w:after="0"/>
        <w:contextualSpacing/>
        <w:jc w:val="center"/>
        <w:rPr>
          <w:rFonts w:ascii="Cambria" w:hAnsi="Cambria" w:cs="Arial"/>
          <w:b/>
          <w:sz w:val="22"/>
          <w:szCs w:val="22"/>
        </w:rPr>
      </w:pPr>
      <w:r>
        <w:rPr>
          <w:rFonts w:cs="Arial" w:ascii="Cambria" w:hAnsi="Cambria"/>
          <w:b/>
          <w:sz w:val="22"/>
          <w:szCs w:val="22"/>
        </w:rPr>
      </w:r>
    </w:p>
    <w:p>
      <w:pPr>
        <w:pStyle w:val="Normal"/>
        <w:shd w:val="clear" w:color="auto" w:fill="BFBFBF"/>
        <w:spacing w:lineRule="auto" w:line="276" w:before="120" w:after="120"/>
        <w:jc w:val="both"/>
        <w:rPr>
          <w:rFonts w:ascii="Cambria" w:hAnsi="Cambria"/>
          <w:sz w:val="22"/>
          <w:szCs w:val="22"/>
        </w:rPr>
      </w:pPr>
      <w:r>
        <w:rPr>
          <w:rFonts w:cs="Arial" w:ascii="Cambria" w:hAnsi="Cambria"/>
          <w:b/>
          <w:sz w:val="22"/>
          <w:szCs w:val="22"/>
        </w:rPr>
        <w:t>INFORMACJA DOTYCZĄCA WYKONAWCY:</w:t>
      </w:r>
    </w:p>
    <w:p>
      <w:pPr>
        <w:pStyle w:val="Normal"/>
        <w:spacing w:lineRule="auto" w:line="276" w:before="120" w:after="120"/>
        <w:jc w:val="both"/>
        <w:rPr>
          <w:rFonts w:ascii="Cambria" w:hAnsi="Cambria"/>
          <w:sz w:val="22"/>
          <w:szCs w:val="22"/>
        </w:rPr>
      </w:pPr>
      <w:r>
        <w:rPr>
          <w:rFonts w:cs="Arial" w:ascii="Cambria" w:hAnsi="Cambria"/>
          <w:sz w:val="22"/>
          <w:szCs w:val="22"/>
        </w:rPr>
        <w:t xml:space="preserve">Oświadczam, że spełniam warunki udziału w postępowaniu określone przez zamawiającego </w:t>
        <w:br/>
        <w:t>w sekcji III ust. 1.2.</w:t>
      </w:r>
    </w:p>
    <w:p>
      <w:pPr>
        <w:pStyle w:val="Normal"/>
        <w:spacing w:lineRule="auto" w:line="276" w:before="120" w:after="120"/>
        <w:jc w:val="both"/>
        <w:rPr>
          <w:rFonts w:ascii="Cambria" w:hAnsi="Cambria" w:cs="Arial"/>
          <w:sz w:val="22"/>
          <w:szCs w:val="22"/>
        </w:rPr>
      </w:pPr>
      <w:r>
        <w:rPr>
          <w:rFonts w:cs="Arial" w:ascii="Cambria" w:hAnsi="Cambria"/>
          <w:sz w:val="22"/>
          <w:szCs w:val="22"/>
        </w:rPr>
      </w:r>
    </w:p>
    <w:tbl>
      <w:tblPr>
        <w:tblW w:w="5000" w:type="pct"/>
        <w:jc w:val="left"/>
        <w:tblInd w:w="0" w:type="dxa"/>
        <w:tblLayout w:type="fixed"/>
        <w:tblCellMar>
          <w:top w:w="55" w:type="dxa"/>
          <w:left w:w="55" w:type="dxa"/>
          <w:bottom w:w="55" w:type="dxa"/>
          <w:right w:w="55" w:type="dxa"/>
        </w:tblCellMar>
        <w:tblLook w:firstRow="1" w:noVBand="1" w:lastRow="0" w:firstColumn="1" w:lastColumn="0" w:noHBand="0" w:val="04a0"/>
      </w:tblPr>
      <w:tblGrid>
        <w:gridCol w:w="4535"/>
        <w:gridCol w:w="4536"/>
      </w:tblGrid>
      <w:tr>
        <w:trPr>
          <w:trHeight w:val="852" w:hRule="atLeast"/>
        </w:trPr>
        <w:tc>
          <w:tcPr>
            <w:tcW w:w="4535" w:type="dxa"/>
            <w:tcBorders/>
          </w:tcPr>
          <w:p>
            <w:pPr>
              <w:pStyle w:val="Akapitzlist1"/>
              <w:tabs>
                <w:tab w:val="clear" w:pos="708"/>
                <w:tab w:val="left" w:pos="732" w:leader="none"/>
                <w:tab w:val="left" w:pos="6372" w:leader="none"/>
              </w:tabs>
              <w:spacing w:lineRule="auto" w:line="276" w:before="120" w:after="120"/>
              <w:ind w:hanging="737" w:left="737"/>
              <w:contextualSpacing/>
              <w:jc w:val="center"/>
              <w:rPr>
                <w:rFonts w:ascii="Cambria" w:hAnsi="Cambria"/>
                <w:sz w:val="22"/>
                <w:szCs w:val="22"/>
              </w:rPr>
            </w:pPr>
            <w:r>
              <w:rPr>
                <w:rFonts w:ascii="Cambria" w:hAnsi="Cambria"/>
                <w:sz w:val="22"/>
                <w:szCs w:val="22"/>
              </w:rPr>
            </w:r>
          </w:p>
          <w:p>
            <w:pPr>
              <w:pStyle w:val="Akapitzlist1"/>
              <w:tabs>
                <w:tab w:val="clear" w:pos="708"/>
                <w:tab w:val="left" w:pos="732" w:leader="none"/>
                <w:tab w:val="left" w:pos="6372" w:leader="none"/>
              </w:tabs>
              <w:spacing w:lineRule="auto" w:line="276" w:before="120" w:after="120"/>
              <w:ind w:hanging="737" w:left="737"/>
              <w:contextualSpacing/>
              <w:jc w:val="center"/>
              <w:rPr>
                <w:rFonts w:ascii="Cambria" w:hAnsi="Cambria"/>
                <w:sz w:val="22"/>
                <w:szCs w:val="22"/>
              </w:rPr>
            </w:pPr>
            <w:r>
              <w:rPr>
                <w:rFonts w:ascii="Cambria" w:hAnsi="Cambria"/>
                <w:sz w:val="22"/>
                <w:szCs w:val="22"/>
              </w:rPr>
              <w:t>……………</w:t>
            </w:r>
            <w:r>
              <w:rPr>
                <w:rFonts w:ascii="Cambria" w:hAnsi="Cambria"/>
                <w:sz w:val="22"/>
                <w:szCs w:val="22"/>
              </w:rPr>
              <w:t xml:space="preserve">..….……. </w:t>
            </w:r>
            <w:r>
              <w:rPr>
                <w:rFonts w:ascii="Cambria" w:hAnsi="Cambria"/>
                <w:i/>
                <w:sz w:val="22"/>
                <w:szCs w:val="22"/>
              </w:rPr>
              <w:t xml:space="preserve">, </w:t>
            </w:r>
            <w:r>
              <w:rPr>
                <w:rFonts w:ascii="Cambria" w:hAnsi="Cambria"/>
                <w:sz w:val="22"/>
                <w:szCs w:val="22"/>
              </w:rPr>
              <w:t>dnia …….……. r</w:t>
            </w:r>
          </w:p>
          <w:p>
            <w:pPr>
              <w:pStyle w:val="Akapitzlist1"/>
              <w:tabs>
                <w:tab w:val="clear" w:pos="708"/>
                <w:tab w:val="left" w:pos="732" w:leader="none"/>
                <w:tab w:val="left" w:pos="6372" w:leader="none"/>
              </w:tabs>
              <w:spacing w:lineRule="auto" w:line="276" w:before="120" w:after="120"/>
              <w:ind w:hanging="737" w:left="737"/>
              <w:contextualSpacing/>
              <w:jc w:val="center"/>
              <w:rPr>
                <w:rFonts w:ascii="Cambria" w:hAnsi="Cambria"/>
                <w:sz w:val="22"/>
                <w:szCs w:val="22"/>
              </w:rPr>
            </w:pPr>
            <w:r>
              <w:rPr>
                <w:rFonts w:cs="Arial" w:ascii="Cambria" w:hAnsi="Cambria"/>
                <w:sz w:val="22"/>
                <w:szCs w:val="22"/>
              </w:rPr>
              <w:t>(miejscowość)</w:t>
            </w:r>
          </w:p>
        </w:tc>
        <w:tc>
          <w:tcPr>
            <w:tcW w:w="4536" w:type="dxa"/>
            <w:tcBorders/>
          </w:tcPr>
          <w:p>
            <w:pPr>
              <w:pStyle w:val="Akapitzlist1"/>
              <w:tabs>
                <w:tab w:val="clear" w:pos="708"/>
                <w:tab w:val="left" w:pos="732" w:leader="none"/>
                <w:tab w:val="left" w:pos="6372" w:leader="none"/>
              </w:tabs>
              <w:spacing w:lineRule="auto" w:line="276" w:before="120" w:after="120"/>
              <w:ind w:hanging="737" w:left="737"/>
              <w:contextualSpacing/>
              <w:jc w:val="center"/>
              <w:rPr>
                <w:rFonts w:ascii="Cambria" w:hAnsi="Cambria"/>
                <w:sz w:val="22"/>
                <w:szCs w:val="22"/>
              </w:rPr>
            </w:pPr>
            <w:r>
              <w:rPr>
                <w:rFonts w:ascii="Cambria" w:hAnsi="Cambria"/>
                <w:sz w:val="22"/>
                <w:szCs w:val="22"/>
              </w:rPr>
            </w:r>
          </w:p>
          <w:p>
            <w:pPr>
              <w:pStyle w:val="Akapitzlist1"/>
              <w:tabs>
                <w:tab w:val="clear" w:pos="708"/>
                <w:tab w:val="left" w:pos="732" w:leader="none"/>
                <w:tab w:val="left" w:pos="6372" w:leader="none"/>
              </w:tabs>
              <w:spacing w:lineRule="auto" w:line="276" w:before="120" w:after="120"/>
              <w:ind w:hanging="737" w:left="737"/>
              <w:contextualSpacing/>
              <w:jc w:val="center"/>
              <w:rPr>
                <w:rFonts w:ascii="Cambria" w:hAnsi="Cambria"/>
                <w:sz w:val="22"/>
                <w:szCs w:val="22"/>
              </w:rPr>
            </w:pPr>
            <w:r>
              <w:rPr>
                <w:rFonts w:ascii="Cambria" w:hAnsi="Cambria"/>
                <w:sz w:val="22"/>
                <w:szCs w:val="22"/>
              </w:rPr>
              <w:t>……………………………………</w:t>
            </w:r>
          </w:p>
          <w:p>
            <w:pPr>
              <w:pStyle w:val="Akapitzlist1"/>
              <w:tabs>
                <w:tab w:val="clear" w:pos="708"/>
                <w:tab w:val="left" w:pos="732" w:leader="none"/>
                <w:tab w:val="left" w:pos="6372" w:leader="none"/>
              </w:tabs>
              <w:spacing w:lineRule="auto" w:line="276" w:before="120" w:after="120"/>
              <w:ind w:hanging="737" w:left="737"/>
              <w:contextualSpacing/>
              <w:jc w:val="center"/>
              <w:rPr>
                <w:rFonts w:ascii="Cambria" w:hAnsi="Cambria"/>
                <w:sz w:val="22"/>
                <w:szCs w:val="22"/>
              </w:rPr>
            </w:pPr>
            <w:r>
              <w:rPr>
                <w:rFonts w:cs="Arial" w:ascii="Cambria" w:hAnsi="Cambria"/>
                <w:sz w:val="22"/>
                <w:szCs w:val="22"/>
              </w:rPr>
              <w:t>(podpis)</w:t>
            </w:r>
          </w:p>
        </w:tc>
      </w:tr>
    </w:tbl>
    <w:p>
      <w:pPr>
        <w:pStyle w:val="Normal"/>
        <w:spacing w:lineRule="auto" w:line="276" w:before="120" w:after="120"/>
        <w:jc w:val="both"/>
        <w:rPr>
          <w:rFonts w:ascii="Cambria" w:hAnsi="Cambria" w:cs="Arial"/>
          <w:sz w:val="22"/>
          <w:szCs w:val="22"/>
        </w:rPr>
      </w:pPr>
      <w:r>
        <w:rPr>
          <w:rFonts w:cs="Arial" w:ascii="Cambria" w:hAnsi="Cambria"/>
          <w:sz w:val="22"/>
          <w:szCs w:val="22"/>
        </w:rPr>
      </w:r>
    </w:p>
    <w:p>
      <w:pPr>
        <w:pStyle w:val="Normal"/>
        <w:shd w:val="clear" w:color="auto" w:fill="BFBFBF"/>
        <w:spacing w:lineRule="auto" w:line="276" w:before="120" w:after="120"/>
        <w:jc w:val="both"/>
        <w:rPr>
          <w:rFonts w:ascii="Cambria" w:hAnsi="Cambria"/>
          <w:sz w:val="22"/>
          <w:szCs w:val="22"/>
        </w:rPr>
      </w:pPr>
      <w:r>
        <w:rPr>
          <w:rFonts w:cs="Arial" w:ascii="Cambria" w:hAnsi="Cambria"/>
          <w:b/>
          <w:sz w:val="22"/>
          <w:szCs w:val="22"/>
        </w:rPr>
        <w:t>OŚWIADCZENIE DOTYCZĄCE PODANYCH INFORMACJI:</w:t>
      </w:r>
    </w:p>
    <w:p>
      <w:pPr>
        <w:pStyle w:val="Normal"/>
        <w:spacing w:lineRule="auto" w:line="276" w:before="120" w:after="120"/>
        <w:jc w:val="both"/>
        <w:rPr>
          <w:rFonts w:ascii="Cambria" w:hAnsi="Cambria"/>
          <w:sz w:val="22"/>
          <w:szCs w:val="22"/>
        </w:rPr>
      </w:pPr>
      <w:r>
        <w:rPr>
          <w:rFonts w:cs="Arial" w:ascii="Cambria" w:hAnsi="Cambria"/>
          <w:sz w:val="22"/>
          <w:szCs w:val="22"/>
        </w:rPr>
        <w:t>Oświadczam, że wszystkie informacje podane w powyższych oświadczeniach są aktualne i zgodne z prawdą oraz zostały przedstawione z pełną świadomością konsekwencji wprowadzenia zamawiającego w błąd przy przedstawianiu informacji.</w:t>
      </w:r>
    </w:p>
    <w:p>
      <w:pPr>
        <w:pStyle w:val="Normal"/>
        <w:spacing w:lineRule="auto" w:line="276" w:before="120" w:after="120"/>
        <w:jc w:val="both"/>
        <w:rPr>
          <w:rFonts w:ascii="Cambria" w:hAnsi="Cambria" w:cs="Arial"/>
          <w:sz w:val="22"/>
          <w:szCs w:val="22"/>
        </w:rPr>
      </w:pPr>
      <w:r>
        <w:rPr>
          <w:rFonts w:cs="Arial" w:ascii="Cambria" w:hAnsi="Cambria"/>
          <w:sz w:val="22"/>
          <w:szCs w:val="22"/>
        </w:rPr>
      </w:r>
    </w:p>
    <w:tbl>
      <w:tblPr>
        <w:tblW w:w="5000" w:type="pct"/>
        <w:jc w:val="left"/>
        <w:tblInd w:w="0" w:type="dxa"/>
        <w:tblLayout w:type="fixed"/>
        <w:tblCellMar>
          <w:top w:w="55" w:type="dxa"/>
          <w:left w:w="55" w:type="dxa"/>
          <w:bottom w:w="55" w:type="dxa"/>
          <w:right w:w="55" w:type="dxa"/>
        </w:tblCellMar>
        <w:tblLook w:firstRow="1" w:noVBand="1" w:lastRow="0" w:firstColumn="1" w:lastColumn="0" w:noHBand="0" w:val="04a0"/>
      </w:tblPr>
      <w:tblGrid>
        <w:gridCol w:w="4535"/>
        <w:gridCol w:w="4536"/>
      </w:tblGrid>
      <w:tr>
        <w:trPr>
          <w:trHeight w:val="852" w:hRule="atLeast"/>
        </w:trPr>
        <w:tc>
          <w:tcPr>
            <w:tcW w:w="4535" w:type="dxa"/>
            <w:tcBorders/>
          </w:tcPr>
          <w:p>
            <w:pPr>
              <w:pStyle w:val="Akapitzlist1"/>
              <w:tabs>
                <w:tab w:val="clear" w:pos="708"/>
                <w:tab w:val="left" w:pos="732" w:leader="none"/>
                <w:tab w:val="left" w:pos="6372" w:leader="none"/>
              </w:tabs>
              <w:spacing w:lineRule="auto" w:line="276" w:before="120" w:after="120"/>
              <w:ind w:hanging="737" w:left="737"/>
              <w:contextualSpacing/>
              <w:jc w:val="center"/>
              <w:rPr>
                <w:rFonts w:ascii="Cambria" w:hAnsi="Cambria"/>
                <w:sz w:val="22"/>
                <w:szCs w:val="22"/>
              </w:rPr>
            </w:pPr>
            <w:r>
              <w:rPr>
                <w:rFonts w:ascii="Cambria" w:hAnsi="Cambria"/>
                <w:sz w:val="22"/>
                <w:szCs w:val="22"/>
              </w:rPr>
            </w:r>
          </w:p>
          <w:p>
            <w:pPr>
              <w:pStyle w:val="Akapitzlist1"/>
              <w:tabs>
                <w:tab w:val="clear" w:pos="708"/>
                <w:tab w:val="left" w:pos="732" w:leader="none"/>
                <w:tab w:val="left" w:pos="6372" w:leader="none"/>
              </w:tabs>
              <w:spacing w:lineRule="auto" w:line="276" w:before="120" w:after="120"/>
              <w:ind w:hanging="737" w:left="737"/>
              <w:contextualSpacing/>
              <w:jc w:val="center"/>
              <w:rPr>
                <w:rFonts w:ascii="Cambria" w:hAnsi="Cambria"/>
                <w:sz w:val="22"/>
                <w:szCs w:val="22"/>
              </w:rPr>
            </w:pPr>
            <w:r>
              <w:rPr>
                <w:rFonts w:ascii="Cambria" w:hAnsi="Cambria"/>
                <w:sz w:val="22"/>
                <w:szCs w:val="22"/>
              </w:rPr>
            </w:r>
          </w:p>
          <w:p>
            <w:pPr>
              <w:pStyle w:val="Akapitzlist1"/>
              <w:tabs>
                <w:tab w:val="clear" w:pos="708"/>
                <w:tab w:val="left" w:pos="732" w:leader="none"/>
                <w:tab w:val="left" w:pos="6372" w:leader="none"/>
              </w:tabs>
              <w:spacing w:lineRule="auto" w:line="276" w:before="120" w:after="120"/>
              <w:ind w:hanging="737" w:left="737"/>
              <w:contextualSpacing/>
              <w:jc w:val="center"/>
              <w:rPr>
                <w:rFonts w:ascii="Cambria" w:hAnsi="Cambria"/>
                <w:sz w:val="22"/>
                <w:szCs w:val="22"/>
              </w:rPr>
            </w:pPr>
            <w:r>
              <w:rPr>
                <w:rFonts w:ascii="Cambria" w:hAnsi="Cambria"/>
                <w:sz w:val="22"/>
                <w:szCs w:val="22"/>
              </w:rPr>
              <w:t>……………</w:t>
            </w:r>
            <w:r>
              <w:rPr>
                <w:rFonts w:ascii="Cambria" w:hAnsi="Cambria"/>
                <w:sz w:val="22"/>
                <w:szCs w:val="22"/>
              </w:rPr>
              <w:t xml:space="preserve">..….……. </w:t>
            </w:r>
            <w:r>
              <w:rPr>
                <w:rFonts w:ascii="Cambria" w:hAnsi="Cambria"/>
                <w:i/>
                <w:sz w:val="22"/>
                <w:szCs w:val="22"/>
              </w:rPr>
              <w:t xml:space="preserve">, </w:t>
            </w:r>
            <w:r>
              <w:rPr>
                <w:rFonts w:ascii="Cambria" w:hAnsi="Cambria"/>
                <w:sz w:val="22"/>
                <w:szCs w:val="22"/>
              </w:rPr>
              <w:t>dnia …….……. r</w:t>
            </w:r>
          </w:p>
          <w:p>
            <w:pPr>
              <w:pStyle w:val="Akapitzlist1"/>
              <w:tabs>
                <w:tab w:val="clear" w:pos="708"/>
                <w:tab w:val="left" w:pos="732" w:leader="none"/>
                <w:tab w:val="left" w:pos="6372" w:leader="none"/>
              </w:tabs>
              <w:spacing w:lineRule="auto" w:line="276" w:before="120" w:after="120"/>
              <w:ind w:hanging="737" w:left="737"/>
              <w:contextualSpacing/>
              <w:jc w:val="center"/>
              <w:rPr>
                <w:rFonts w:ascii="Cambria" w:hAnsi="Cambria"/>
                <w:sz w:val="22"/>
                <w:szCs w:val="22"/>
              </w:rPr>
            </w:pPr>
            <w:r>
              <w:rPr>
                <w:rFonts w:cs="Arial" w:ascii="Cambria" w:hAnsi="Cambria"/>
                <w:sz w:val="22"/>
                <w:szCs w:val="22"/>
              </w:rPr>
              <w:t>(miejscowość)</w:t>
            </w:r>
          </w:p>
        </w:tc>
        <w:tc>
          <w:tcPr>
            <w:tcW w:w="4536" w:type="dxa"/>
            <w:tcBorders/>
          </w:tcPr>
          <w:p>
            <w:pPr>
              <w:pStyle w:val="Akapitzlist1"/>
              <w:tabs>
                <w:tab w:val="clear" w:pos="708"/>
                <w:tab w:val="left" w:pos="732" w:leader="none"/>
                <w:tab w:val="left" w:pos="6372" w:leader="none"/>
              </w:tabs>
              <w:spacing w:lineRule="auto" w:line="276" w:before="120" w:after="120"/>
              <w:ind w:hanging="737" w:left="737"/>
              <w:contextualSpacing/>
              <w:jc w:val="center"/>
              <w:rPr>
                <w:rFonts w:ascii="Cambria" w:hAnsi="Cambria"/>
                <w:sz w:val="22"/>
                <w:szCs w:val="22"/>
              </w:rPr>
            </w:pPr>
            <w:r>
              <w:rPr>
                <w:rFonts w:ascii="Cambria" w:hAnsi="Cambria"/>
                <w:sz w:val="22"/>
                <w:szCs w:val="22"/>
              </w:rPr>
            </w:r>
          </w:p>
          <w:p>
            <w:pPr>
              <w:pStyle w:val="Akapitzlist1"/>
              <w:tabs>
                <w:tab w:val="clear" w:pos="708"/>
                <w:tab w:val="left" w:pos="732" w:leader="none"/>
                <w:tab w:val="left" w:pos="6372" w:leader="none"/>
              </w:tabs>
              <w:spacing w:lineRule="auto" w:line="276" w:before="120" w:after="120"/>
              <w:ind w:hanging="737" w:left="737"/>
              <w:contextualSpacing/>
              <w:jc w:val="center"/>
              <w:rPr>
                <w:rFonts w:ascii="Cambria" w:hAnsi="Cambria"/>
                <w:sz w:val="22"/>
                <w:szCs w:val="22"/>
              </w:rPr>
            </w:pPr>
            <w:r>
              <w:rPr>
                <w:rFonts w:ascii="Cambria" w:hAnsi="Cambria"/>
                <w:sz w:val="22"/>
                <w:szCs w:val="22"/>
              </w:rPr>
            </w:r>
          </w:p>
          <w:p>
            <w:pPr>
              <w:pStyle w:val="Akapitzlist1"/>
              <w:tabs>
                <w:tab w:val="clear" w:pos="708"/>
                <w:tab w:val="left" w:pos="732" w:leader="none"/>
                <w:tab w:val="left" w:pos="6372" w:leader="none"/>
              </w:tabs>
              <w:spacing w:lineRule="auto" w:line="276" w:before="120" w:after="120"/>
              <w:ind w:hanging="737" w:left="737"/>
              <w:contextualSpacing/>
              <w:jc w:val="center"/>
              <w:rPr>
                <w:rFonts w:ascii="Cambria" w:hAnsi="Cambria"/>
                <w:sz w:val="22"/>
                <w:szCs w:val="22"/>
              </w:rPr>
            </w:pPr>
            <w:r>
              <w:rPr>
                <w:rFonts w:ascii="Cambria" w:hAnsi="Cambria"/>
                <w:sz w:val="22"/>
                <w:szCs w:val="22"/>
              </w:rPr>
              <w:t>……………………………………</w:t>
            </w:r>
          </w:p>
          <w:p>
            <w:pPr>
              <w:pStyle w:val="Akapitzlist1"/>
              <w:tabs>
                <w:tab w:val="clear" w:pos="708"/>
                <w:tab w:val="left" w:pos="732" w:leader="none"/>
                <w:tab w:val="left" w:pos="6372" w:leader="none"/>
              </w:tabs>
              <w:spacing w:lineRule="auto" w:line="276" w:before="120" w:after="120"/>
              <w:ind w:hanging="737" w:left="737"/>
              <w:contextualSpacing/>
              <w:jc w:val="center"/>
              <w:rPr>
                <w:rFonts w:ascii="Cambria" w:hAnsi="Cambria"/>
                <w:sz w:val="22"/>
                <w:szCs w:val="22"/>
              </w:rPr>
            </w:pPr>
            <w:r>
              <w:rPr>
                <w:rFonts w:cs="Arial" w:ascii="Cambria" w:hAnsi="Cambria"/>
                <w:sz w:val="22"/>
                <w:szCs w:val="22"/>
              </w:rPr>
              <w:t>(podpis)</w:t>
            </w:r>
          </w:p>
        </w:tc>
      </w:tr>
    </w:tbl>
    <w:p>
      <w:pPr>
        <w:pStyle w:val="Normal"/>
        <w:spacing w:lineRule="auto" w:line="276" w:before="120" w:after="120"/>
        <w:jc w:val="both"/>
        <w:rPr>
          <w:rFonts w:ascii="Cambria" w:hAnsi="Cambria" w:cs="Arial"/>
          <w:sz w:val="22"/>
          <w:szCs w:val="22"/>
        </w:rPr>
      </w:pPr>
      <w:r>
        <w:rPr>
          <w:rFonts w:cs="Arial" w:ascii="Cambria" w:hAnsi="Cambria"/>
          <w:sz w:val="22"/>
          <w:szCs w:val="22"/>
        </w:rPr>
      </w:r>
    </w:p>
    <w:p>
      <w:pPr>
        <w:pStyle w:val="Normal"/>
        <w:spacing w:lineRule="auto" w:line="276" w:before="120" w:after="120"/>
        <w:rPr>
          <w:rFonts w:ascii="Cambria" w:hAnsi="Cambria"/>
          <w:sz w:val="22"/>
          <w:szCs w:val="22"/>
        </w:rPr>
      </w:pPr>
      <w:r>
        <w:rPr>
          <w:rFonts w:ascii="Cambria" w:hAnsi="Cambria"/>
          <w:sz w:val="22"/>
          <w:szCs w:val="22"/>
        </w:rPr>
      </w:r>
      <w:r>
        <w:br w:type="page"/>
      </w:r>
    </w:p>
    <w:tbl>
      <w:tblPr>
        <w:tblW w:w="8970" w:type="dxa"/>
        <w:jc w:val="left"/>
        <w:tblInd w:w="98" w:type="dxa"/>
        <w:tblLayout w:type="fixed"/>
        <w:tblCellMar>
          <w:top w:w="0" w:type="dxa"/>
          <w:left w:w="0" w:type="dxa"/>
          <w:bottom w:w="0" w:type="dxa"/>
          <w:right w:w="0" w:type="dxa"/>
        </w:tblCellMar>
        <w:tblLook w:firstRow="1" w:noVBand="1" w:lastRow="0" w:firstColumn="1" w:lastColumn="0" w:noHBand="0" w:val="04a0"/>
      </w:tblPr>
      <w:tblGrid>
        <w:gridCol w:w="5784"/>
        <w:gridCol w:w="3185"/>
      </w:tblGrid>
      <w:tr>
        <w:trPr/>
        <w:tc>
          <w:tcPr>
            <w:tcW w:w="5784" w:type="dxa"/>
            <w:tcBorders/>
          </w:tcPr>
          <w:p>
            <w:pPr>
              <w:pStyle w:val="Normal"/>
              <w:pageBreakBefore/>
              <w:spacing w:lineRule="auto" w:line="276" w:before="0" w:after="120"/>
              <w:rPr>
                <w:rFonts w:ascii="Cambria" w:hAnsi="Cambria"/>
                <w:sz w:val="22"/>
                <w:szCs w:val="22"/>
              </w:rPr>
            </w:pPr>
            <w:r>
              <w:rPr>
                <w:rFonts w:cs="Arial" w:ascii="Cambria" w:hAnsi="Cambria"/>
                <w:b/>
                <w:bCs/>
                <w:sz w:val="22"/>
                <w:szCs w:val="22"/>
              </w:rPr>
              <w:t>Wykonawca:</w:t>
            </w:r>
          </w:p>
          <w:p>
            <w:pPr>
              <w:pStyle w:val="Normal"/>
              <w:spacing w:lineRule="auto" w:line="276" w:before="0" w:after="120"/>
              <w:rPr>
                <w:rFonts w:ascii="Cambria" w:hAnsi="Cambria"/>
                <w:sz w:val="22"/>
                <w:szCs w:val="22"/>
              </w:rPr>
            </w:pPr>
            <w:r>
              <w:rPr>
                <w:rFonts w:cs="Arial" w:ascii="Cambria" w:hAnsi="Cambria"/>
                <w:sz w:val="22"/>
                <w:szCs w:val="22"/>
              </w:rPr>
              <w:t>……………………………………………………</w:t>
            </w:r>
          </w:p>
          <w:p>
            <w:pPr>
              <w:pStyle w:val="Normal"/>
              <w:spacing w:lineRule="auto" w:line="276" w:before="0" w:after="120"/>
              <w:rPr>
                <w:rFonts w:ascii="Cambria" w:hAnsi="Cambria"/>
                <w:sz w:val="22"/>
                <w:szCs w:val="22"/>
              </w:rPr>
            </w:pPr>
            <w:r>
              <w:rPr>
                <w:rFonts w:cs="Arial" w:ascii="Cambria" w:hAnsi="Cambria"/>
                <w:sz w:val="22"/>
                <w:szCs w:val="22"/>
              </w:rPr>
              <w:br/>
              <w:t>……………………………………………………</w:t>
              <w:br/>
            </w:r>
            <w:r>
              <w:rPr>
                <w:rFonts w:cs="Arial" w:ascii="Cambria" w:hAnsi="Cambria"/>
                <w:i/>
              </w:rPr>
              <w:t xml:space="preserve">(pełna nazwa/firma, adres, </w:t>
              <w:br/>
              <w:t>w zależności od podmiotu: NIP/PESEL, KRS/CEiDG)</w:t>
            </w:r>
          </w:p>
        </w:tc>
        <w:tc>
          <w:tcPr>
            <w:tcW w:w="3185" w:type="dxa"/>
            <w:tcBorders/>
          </w:tcPr>
          <w:p>
            <w:pPr>
              <w:pStyle w:val="Normal"/>
              <w:spacing w:lineRule="auto" w:line="276" w:before="120" w:after="120"/>
              <w:jc w:val="right"/>
              <w:rPr>
                <w:rFonts w:ascii="Cambria" w:hAnsi="Cambria"/>
                <w:sz w:val="22"/>
                <w:szCs w:val="22"/>
              </w:rPr>
            </w:pPr>
            <w:r>
              <w:rPr>
                <w:rFonts w:cs="Arial" w:ascii="Cambria" w:hAnsi="Cambria"/>
                <w:b/>
                <w:i/>
                <w:sz w:val="22"/>
                <w:szCs w:val="22"/>
              </w:rPr>
              <w:t>Załącznik nr 3 do SWZ</w:t>
              <w:br/>
            </w:r>
            <w:r>
              <w:rPr>
                <w:rFonts w:cs="Arial" w:ascii="Cambria" w:hAnsi="Cambria"/>
                <w:b/>
                <w:sz w:val="22"/>
                <w:szCs w:val="22"/>
              </w:rPr>
              <w:t>Zamawiający: Gmina Skała</w:t>
            </w:r>
          </w:p>
        </w:tc>
      </w:tr>
      <w:tr>
        <w:trPr/>
        <w:tc>
          <w:tcPr>
            <w:tcW w:w="5784" w:type="dxa"/>
            <w:tcBorders/>
          </w:tcPr>
          <w:p>
            <w:pPr>
              <w:pStyle w:val="Normal"/>
              <w:spacing w:lineRule="auto" w:line="276" w:before="120" w:after="120"/>
              <w:rPr>
                <w:rFonts w:ascii="Cambria" w:hAnsi="Cambria"/>
                <w:sz w:val="22"/>
                <w:szCs w:val="22"/>
              </w:rPr>
            </w:pPr>
            <w:r>
              <w:rPr>
                <w:rFonts w:cs="Arial" w:ascii="Cambria" w:hAnsi="Cambria"/>
                <w:sz w:val="22"/>
                <w:szCs w:val="22"/>
                <w:u w:val="single"/>
              </w:rPr>
              <w:t>reprezentowany przez:</w:t>
            </w:r>
          </w:p>
          <w:p>
            <w:pPr>
              <w:pStyle w:val="Normal"/>
              <w:spacing w:lineRule="auto" w:line="276" w:before="120" w:after="120"/>
              <w:rPr>
                <w:rFonts w:ascii="Cambria" w:hAnsi="Cambria"/>
                <w:sz w:val="22"/>
                <w:szCs w:val="22"/>
              </w:rPr>
            </w:pPr>
            <w:r>
              <w:rPr>
                <w:rFonts w:cs="Arial" w:ascii="Cambria" w:hAnsi="Cambria"/>
                <w:sz w:val="22"/>
                <w:szCs w:val="22"/>
              </w:rPr>
              <w:t>……………………………………………</w:t>
            </w:r>
          </w:p>
          <w:p>
            <w:pPr>
              <w:pStyle w:val="Normal"/>
              <w:spacing w:lineRule="auto" w:line="276" w:before="120" w:after="120"/>
              <w:rPr>
                <w:rFonts w:ascii="Cambria" w:hAnsi="Cambria"/>
                <w:sz w:val="22"/>
                <w:szCs w:val="22"/>
              </w:rPr>
            </w:pPr>
            <w:r>
              <w:rPr>
                <w:rFonts w:cs="Arial" w:ascii="Cambria" w:hAnsi="Cambria"/>
                <w:sz w:val="22"/>
                <w:szCs w:val="22"/>
              </w:rPr>
              <w:br/>
              <w:t>……………………..………………………</w:t>
              <w:br/>
            </w:r>
            <w:r>
              <w:rPr>
                <w:rFonts w:cs="Arial" w:ascii="Cambria" w:hAnsi="Cambria"/>
                <w:i/>
              </w:rPr>
              <w:t>(imię, nazwisko, stanowisko/podstawa do reprezentacji)</w:t>
            </w:r>
          </w:p>
        </w:tc>
        <w:tc>
          <w:tcPr>
            <w:tcW w:w="3185" w:type="dxa"/>
            <w:tcBorders/>
          </w:tcPr>
          <w:p>
            <w:pPr>
              <w:pStyle w:val="Zawartotabeli"/>
              <w:spacing w:lineRule="auto" w:line="276"/>
              <w:rPr>
                <w:rFonts w:ascii="Cambria" w:hAnsi="Cambria"/>
                <w:sz w:val="22"/>
                <w:szCs w:val="22"/>
              </w:rPr>
            </w:pPr>
            <w:r>
              <w:rPr>
                <w:rFonts w:ascii="Cambria" w:hAnsi="Cambria"/>
                <w:sz w:val="22"/>
                <w:szCs w:val="22"/>
              </w:rPr>
            </w:r>
          </w:p>
        </w:tc>
      </w:tr>
    </w:tbl>
    <w:p>
      <w:pPr>
        <w:pStyle w:val="Normal"/>
        <w:spacing w:lineRule="auto" w:line="276" w:before="120" w:after="120"/>
        <w:jc w:val="center"/>
        <w:rPr>
          <w:rFonts w:ascii="Cambria" w:hAnsi="Cambria"/>
          <w:sz w:val="22"/>
          <w:szCs w:val="22"/>
        </w:rPr>
      </w:pPr>
      <w:r>
        <w:rPr>
          <w:rFonts w:cs="Arial" w:ascii="Cambria" w:hAnsi="Cambria"/>
          <w:b/>
          <w:sz w:val="22"/>
          <w:szCs w:val="22"/>
          <w:u w:val="single"/>
        </w:rPr>
        <w:t xml:space="preserve">Oświadczenie Wykonawcy </w:t>
        <w:br/>
        <w:t>DOTYCZĄCE PRZESŁANEK WYKLUCZENIA Z POSTĘPOWANIA</w:t>
      </w:r>
    </w:p>
    <w:p>
      <w:pPr>
        <w:pStyle w:val="ListParagraph"/>
        <w:numPr>
          <w:ilvl w:val="0"/>
          <w:numId w:val="71"/>
        </w:numPr>
        <w:spacing w:lineRule="auto" w:line="276" w:before="120" w:after="0"/>
        <w:ind w:hanging="0" w:left="0"/>
        <w:contextualSpacing/>
        <w:jc w:val="both"/>
        <w:rPr>
          <w:rFonts w:ascii="Cambria" w:hAnsi="Cambria"/>
        </w:rPr>
      </w:pPr>
      <w:r>
        <w:rPr>
          <w:rFonts w:cs="Arial" w:ascii="Cambria" w:hAnsi="Cambria"/>
        </w:rPr>
        <w:t xml:space="preserve">Dotyczy: postępowania o udzielenie zamówienia publicznego na wykonanie robót budowlanych </w:t>
      </w:r>
      <w:r>
        <w:rPr>
          <w:rStyle w:val="FontStyle28"/>
          <w:rFonts w:cs="Calibri" w:ascii="Cambria" w:hAnsi="Cambria"/>
          <w:sz w:val="22"/>
          <w:szCs w:val="22"/>
        </w:rPr>
        <w:t xml:space="preserve">pod nazwą </w:t>
      </w:r>
      <w:r>
        <w:rPr>
          <w:rFonts w:ascii="Cambria" w:hAnsi="Cambria"/>
          <w:b/>
          <w:bCs/>
          <w:i/>
          <w:iCs/>
        </w:rPr>
        <w:t xml:space="preserve"> </w:t>
      </w:r>
      <w:r>
        <w:rPr>
          <w:rStyle w:val="FontStyle28"/>
          <w:rFonts w:cs="Calibri" w:ascii="Cambria" w:hAnsi="Cambria"/>
          <w:b/>
          <w:bCs/>
          <w:i/>
          <w:iCs/>
          <w:sz w:val="22"/>
          <w:szCs w:val="22"/>
        </w:rPr>
        <w:t>„Budowa budynku służącego celom kulturalnym i społecznym w Rzeplinie”</w:t>
      </w:r>
    </w:p>
    <w:p>
      <w:pPr>
        <w:pStyle w:val="Normal"/>
        <w:tabs>
          <w:tab w:val="clear" w:pos="708"/>
          <w:tab w:val="left" w:pos="851" w:leader="none"/>
        </w:tabs>
        <w:spacing w:lineRule="auto" w:line="276" w:before="120" w:after="120"/>
        <w:jc w:val="both"/>
        <w:rPr>
          <w:rFonts w:ascii="Cambria" w:hAnsi="Cambria"/>
          <w:sz w:val="22"/>
          <w:szCs w:val="22"/>
        </w:rPr>
      </w:pPr>
      <w:r>
        <w:rPr>
          <w:rFonts w:eastAsia="Tahoma" w:cs="Arial" w:ascii="Cambria" w:hAnsi="Cambria"/>
          <w:sz w:val="22"/>
          <w:szCs w:val="22"/>
        </w:rPr>
        <w:t xml:space="preserve">w związku z którym, oświadczam, co </w:t>
      </w:r>
      <w:r>
        <w:rPr>
          <w:rFonts w:cs="Arial" w:ascii="Cambria" w:hAnsi="Cambria"/>
          <w:sz w:val="22"/>
          <w:szCs w:val="22"/>
        </w:rPr>
        <w:t>następuje:</w:t>
      </w:r>
    </w:p>
    <w:p>
      <w:pPr>
        <w:pStyle w:val="Normal"/>
        <w:shd w:val="clear" w:color="auto" w:fill="BFBFBF"/>
        <w:spacing w:lineRule="auto" w:line="276" w:before="120" w:after="120"/>
        <w:rPr>
          <w:rFonts w:ascii="Cambria" w:hAnsi="Cambria"/>
          <w:sz w:val="22"/>
          <w:szCs w:val="22"/>
        </w:rPr>
      </w:pPr>
      <w:r>
        <w:rPr>
          <w:rFonts w:cs="Arial" w:ascii="Cambria" w:hAnsi="Cambria"/>
          <w:b/>
          <w:sz w:val="22"/>
          <w:szCs w:val="22"/>
        </w:rPr>
        <w:t>OŚWIADCZENIA DOTYCZĄCE WYKONAWCY:</w:t>
      </w:r>
    </w:p>
    <w:p>
      <w:pPr>
        <w:pStyle w:val="Akapitzlist1"/>
        <w:numPr>
          <w:ilvl w:val="0"/>
          <w:numId w:val="4"/>
        </w:numPr>
        <w:spacing w:lineRule="auto" w:line="276" w:before="120" w:after="120"/>
        <w:contextualSpacing/>
        <w:jc w:val="both"/>
        <w:rPr>
          <w:rFonts w:ascii="Cambria" w:hAnsi="Cambria"/>
          <w:sz w:val="22"/>
          <w:szCs w:val="22"/>
        </w:rPr>
      </w:pPr>
      <w:r>
        <w:rPr>
          <w:rFonts w:cs="Arial" w:ascii="Cambria" w:hAnsi="Cambria"/>
          <w:color w:val="auto"/>
          <w:sz w:val="22"/>
          <w:szCs w:val="22"/>
        </w:rPr>
        <w:t xml:space="preserve">Oświadczam, że nie podlegam wykluczeniu z postępowania na podstawie </w:t>
        <w:br/>
        <w:t xml:space="preserve">art. 108 ust 1 pkt 1-6 Pzp. </w:t>
      </w:r>
      <w:r>
        <w:rPr>
          <w:rFonts w:cs="Open Sans" w:ascii="Cambria" w:hAnsi="Cambria"/>
          <w:color w:val="auto"/>
          <w:sz w:val="22"/>
          <w:szCs w:val="22"/>
        </w:rPr>
        <w:t xml:space="preserve">oraz na podstawie art. 7 ust. 1 ustawy z dnia 13 kwietnia 2022r </w:t>
      </w:r>
      <w:r>
        <w:rPr>
          <w:rFonts w:ascii="Cambria" w:hAnsi="Cambria"/>
          <w:color w:val="auto"/>
          <w:sz w:val="22"/>
          <w:szCs w:val="22"/>
        </w:rPr>
        <w:t>o szczególnych rozwiązaniach w zakresie przeciwdziałania wspieraniu agresji na Ukrainę oraz służących ochronie bezpieczeństwa narodowego</w:t>
      </w:r>
    </w:p>
    <w:p>
      <w:pPr>
        <w:pStyle w:val="Akapitzlist1"/>
        <w:numPr>
          <w:ilvl w:val="0"/>
          <w:numId w:val="4"/>
        </w:numPr>
        <w:spacing w:lineRule="auto" w:line="276" w:before="120" w:after="120"/>
        <w:contextualSpacing/>
        <w:jc w:val="both"/>
        <w:rPr>
          <w:rFonts w:ascii="Cambria" w:hAnsi="Cambria"/>
          <w:sz w:val="22"/>
          <w:szCs w:val="22"/>
        </w:rPr>
      </w:pPr>
      <w:r>
        <w:rPr>
          <w:rFonts w:cs="Arial" w:ascii="Cambria" w:hAnsi="Cambria"/>
          <w:color w:val="auto"/>
          <w:sz w:val="22"/>
          <w:szCs w:val="22"/>
        </w:rPr>
        <w:t xml:space="preserve">Oświadczam, że nie podlegam wykluczeniu z postępowania na podstawie </w:t>
        <w:br/>
        <w:t>art. 109 ust. 1 pkt.</w:t>
      </w:r>
      <w:r>
        <w:rPr>
          <w:rFonts w:cs="Arial" w:ascii="Cambria" w:hAnsi="Cambria"/>
          <w:strike/>
          <w:color w:val="auto"/>
          <w:sz w:val="22"/>
          <w:szCs w:val="22"/>
        </w:rPr>
        <w:t xml:space="preserve"> 1, 2, 3</w:t>
      </w:r>
      <w:r>
        <w:rPr>
          <w:rFonts w:cs="Arial" w:ascii="Cambria" w:hAnsi="Cambria"/>
          <w:color w:val="auto"/>
          <w:sz w:val="22"/>
          <w:szCs w:val="22"/>
        </w:rPr>
        <w:t>, 4, 5,</w:t>
      </w:r>
      <w:r>
        <w:rPr>
          <w:rFonts w:cs="Arial" w:ascii="Cambria" w:hAnsi="Cambria"/>
          <w:strike/>
          <w:color w:val="auto"/>
          <w:sz w:val="22"/>
          <w:szCs w:val="22"/>
        </w:rPr>
        <w:t xml:space="preserve"> 6,</w:t>
      </w:r>
      <w:r>
        <w:rPr>
          <w:rFonts w:cs="Arial" w:ascii="Cambria" w:hAnsi="Cambria"/>
          <w:color w:val="auto"/>
          <w:sz w:val="22"/>
          <w:szCs w:val="22"/>
        </w:rPr>
        <w:t xml:space="preserve"> 7, 8,</w:t>
      </w:r>
      <w:r>
        <w:rPr>
          <w:rFonts w:cs="Arial" w:ascii="Cambria" w:hAnsi="Cambria"/>
          <w:strike/>
          <w:color w:val="auto"/>
          <w:sz w:val="22"/>
          <w:szCs w:val="22"/>
        </w:rPr>
        <w:t xml:space="preserve"> 9, </w:t>
      </w:r>
      <w:r>
        <w:rPr>
          <w:rFonts w:cs="Arial" w:ascii="Cambria" w:hAnsi="Cambria"/>
          <w:color w:val="auto"/>
          <w:sz w:val="22"/>
          <w:szCs w:val="22"/>
        </w:rPr>
        <w:t>10</w:t>
      </w:r>
      <w:r>
        <w:rPr>
          <w:rFonts w:cs="Arial" w:ascii="Cambria" w:hAnsi="Cambria"/>
          <w:strike/>
          <w:color w:val="auto"/>
          <w:sz w:val="22"/>
          <w:szCs w:val="22"/>
        </w:rPr>
        <w:t xml:space="preserve"> </w:t>
      </w:r>
      <w:r>
        <w:rPr>
          <w:rFonts w:cs="Arial" w:ascii="Cambria" w:hAnsi="Cambria"/>
          <w:color w:val="auto"/>
          <w:sz w:val="22"/>
          <w:szCs w:val="22"/>
        </w:rPr>
        <w:t>ustawy Pzp</w:t>
      </w:r>
      <w:r>
        <w:rPr>
          <w:rFonts w:cs="Arial" w:ascii="Cambria" w:hAnsi="Cambria"/>
          <w:strike/>
          <w:color w:val="auto"/>
          <w:sz w:val="22"/>
          <w:szCs w:val="22"/>
        </w:rPr>
        <w:t>.</w:t>
      </w:r>
    </w:p>
    <w:tbl>
      <w:tblPr>
        <w:tblW w:w="5000" w:type="pct"/>
        <w:jc w:val="left"/>
        <w:tblInd w:w="0" w:type="dxa"/>
        <w:tblLayout w:type="fixed"/>
        <w:tblCellMar>
          <w:top w:w="55" w:type="dxa"/>
          <w:left w:w="55" w:type="dxa"/>
          <w:bottom w:w="55" w:type="dxa"/>
          <w:right w:w="55" w:type="dxa"/>
        </w:tblCellMar>
        <w:tblLook w:firstRow="1" w:noVBand="1" w:lastRow="0" w:firstColumn="1" w:lastColumn="0" w:noHBand="0" w:val="04a0"/>
      </w:tblPr>
      <w:tblGrid>
        <w:gridCol w:w="4535"/>
        <w:gridCol w:w="4536"/>
      </w:tblGrid>
      <w:tr>
        <w:trPr>
          <w:trHeight w:val="852" w:hRule="atLeast"/>
        </w:trPr>
        <w:tc>
          <w:tcPr>
            <w:tcW w:w="4535" w:type="dxa"/>
            <w:tcBorders/>
          </w:tcPr>
          <w:p>
            <w:pPr>
              <w:pStyle w:val="Akapitzlist1"/>
              <w:tabs>
                <w:tab w:val="clear" w:pos="708"/>
                <w:tab w:val="left" w:pos="732" w:leader="none"/>
                <w:tab w:val="left" w:pos="6372" w:leader="none"/>
              </w:tabs>
              <w:spacing w:lineRule="auto" w:line="276" w:before="120" w:after="120"/>
              <w:ind w:hanging="737" w:left="737"/>
              <w:contextualSpacing/>
              <w:jc w:val="center"/>
              <w:rPr>
                <w:rFonts w:ascii="Cambria" w:hAnsi="Cambria"/>
                <w:sz w:val="22"/>
                <w:szCs w:val="22"/>
              </w:rPr>
            </w:pPr>
            <w:r>
              <w:rPr>
                <w:rFonts w:ascii="Cambria" w:hAnsi="Cambria"/>
                <w:sz w:val="22"/>
                <w:szCs w:val="22"/>
              </w:rPr>
            </w:r>
          </w:p>
          <w:p>
            <w:pPr>
              <w:pStyle w:val="Akapitzlist1"/>
              <w:tabs>
                <w:tab w:val="clear" w:pos="708"/>
                <w:tab w:val="left" w:pos="732" w:leader="none"/>
                <w:tab w:val="left" w:pos="6372" w:leader="none"/>
              </w:tabs>
              <w:spacing w:lineRule="auto" w:line="276" w:before="120" w:after="120"/>
              <w:ind w:hanging="737" w:left="737"/>
              <w:contextualSpacing/>
              <w:jc w:val="center"/>
              <w:rPr>
                <w:rFonts w:ascii="Cambria" w:hAnsi="Cambria"/>
                <w:sz w:val="22"/>
                <w:szCs w:val="22"/>
              </w:rPr>
            </w:pPr>
            <w:r>
              <w:rPr>
                <w:rFonts w:ascii="Cambria" w:hAnsi="Cambria"/>
                <w:sz w:val="22"/>
                <w:szCs w:val="22"/>
              </w:rPr>
              <w:t>……………</w:t>
            </w:r>
            <w:r>
              <w:rPr>
                <w:rFonts w:ascii="Cambria" w:hAnsi="Cambria"/>
                <w:sz w:val="22"/>
                <w:szCs w:val="22"/>
              </w:rPr>
              <w:t xml:space="preserve">..….……. </w:t>
            </w:r>
            <w:r>
              <w:rPr>
                <w:rFonts w:ascii="Cambria" w:hAnsi="Cambria"/>
                <w:i/>
                <w:sz w:val="22"/>
                <w:szCs w:val="22"/>
              </w:rPr>
              <w:t xml:space="preserve">, </w:t>
            </w:r>
            <w:r>
              <w:rPr>
                <w:rFonts w:ascii="Cambria" w:hAnsi="Cambria"/>
                <w:sz w:val="22"/>
                <w:szCs w:val="22"/>
              </w:rPr>
              <w:t>dnia …….……. r</w:t>
            </w:r>
          </w:p>
          <w:p>
            <w:pPr>
              <w:pStyle w:val="Akapitzlist1"/>
              <w:tabs>
                <w:tab w:val="clear" w:pos="708"/>
                <w:tab w:val="left" w:pos="732" w:leader="none"/>
                <w:tab w:val="left" w:pos="6372" w:leader="none"/>
              </w:tabs>
              <w:spacing w:lineRule="auto" w:line="276" w:before="120" w:after="120"/>
              <w:ind w:hanging="737" w:left="737"/>
              <w:contextualSpacing/>
              <w:jc w:val="center"/>
              <w:rPr>
                <w:rFonts w:ascii="Cambria" w:hAnsi="Cambria"/>
                <w:sz w:val="22"/>
                <w:szCs w:val="22"/>
              </w:rPr>
            </w:pPr>
            <w:r>
              <w:rPr>
                <w:rFonts w:cs="Arial" w:ascii="Cambria" w:hAnsi="Cambria"/>
                <w:sz w:val="22"/>
                <w:szCs w:val="22"/>
              </w:rPr>
              <w:t>(miejscowość)</w:t>
            </w:r>
          </w:p>
        </w:tc>
        <w:tc>
          <w:tcPr>
            <w:tcW w:w="4536" w:type="dxa"/>
            <w:tcBorders/>
          </w:tcPr>
          <w:p>
            <w:pPr>
              <w:pStyle w:val="Akapitzlist1"/>
              <w:tabs>
                <w:tab w:val="clear" w:pos="708"/>
                <w:tab w:val="left" w:pos="732" w:leader="none"/>
                <w:tab w:val="left" w:pos="6372" w:leader="none"/>
              </w:tabs>
              <w:spacing w:lineRule="auto" w:line="276" w:before="120" w:after="120"/>
              <w:ind w:hanging="737" w:left="737"/>
              <w:contextualSpacing/>
              <w:jc w:val="center"/>
              <w:rPr>
                <w:rFonts w:ascii="Cambria" w:hAnsi="Cambria"/>
                <w:sz w:val="22"/>
                <w:szCs w:val="22"/>
              </w:rPr>
            </w:pPr>
            <w:r>
              <w:rPr>
                <w:rFonts w:ascii="Cambria" w:hAnsi="Cambria"/>
                <w:sz w:val="22"/>
                <w:szCs w:val="22"/>
              </w:rPr>
            </w:r>
          </w:p>
          <w:p>
            <w:pPr>
              <w:pStyle w:val="Akapitzlist1"/>
              <w:tabs>
                <w:tab w:val="clear" w:pos="708"/>
                <w:tab w:val="left" w:pos="732" w:leader="none"/>
                <w:tab w:val="left" w:pos="6372" w:leader="none"/>
              </w:tabs>
              <w:spacing w:lineRule="auto" w:line="276" w:before="120" w:after="120"/>
              <w:ind w:hanging="737" w:left="737"/>
              <w:contextualSpacing/>
              <w:jc w:val="center"/>
              <w:rPr>
                <w:rFonts w:ascii="Cambria" w:hAnsi="Cambria"/>
                <w:sz w:val="22"/>
                <w:szCs w:val="22"/>
              </w:rPr>
            </w:pPr>
            <w:r>
              <w:rPr>
                <w:rFonts w:ascii="Cambria" w:hAnsi="Cambria"/>
                <w:sz w:val="22"/>
                <w:szCs w:val="22"/>
              </w:rPr>
              <w:t>……………………………………</w:t>
            </w:r>
          </w:p>
          <w:p>
            <w:pPr>
              <w:pStyle w:val="Akapitzlist1"/>
              <w:tabs>
                <w:tab w:val="clear" w:pos="708"/>
                <w:tab w:val="left" w:pos="732" w:leader="none"/>
                <w:tab w:val="left" w:pos="6372" w:leader="none"/>
              </w:tabs>
              <w:spacing w:lineRule="auto" w:line="276" w:before="120" w:after="120"/>
              <w:ind w:hanging="737" w:left="737"/>
              <w:contextualSpacing/>
              <w:jc w:val="center"/>
              <w:rPr>
                <w:rFonts w:ascii="Cambria" w:hAnsi="Cambria"/>
                <w:sz w:val="22"/>
                <w:szCs w:val="22"/>
              </w:rPr>
            </w:pPr>
            <w:r>
              <w:rPr>
                <w:rFonts w:cs="Arial" w:ascii="Cambria" w:hAnsi="Cambria"/>
                <w:sz w:val="22"/>
                <w:szCs w:val="22"/>
              </w:rPr>
              <w:t>(podpis)</w:t>
            </w:r>
          </w:p>
        </w:tc>
      </w:tr>
    </w:tbl>
    <w:p>
      <w:pPr>
        <w:pStyle w:val="Normal"/>
        <w:rPr/>
      </w:pPr>
      <w:r>
        <w:rPr/>
      </w:r>
    </w:p>
    <w:p>
      <w:pPr>
        <w:pStyle w:val="Normal"/>
        <w:shd w:val="clear" w:color="auto" w:fill="BFBFBF"/>
        <w:spacing w:lineRule="auto" w:line="276" w:before="120" w:after="120"/>
        <w:jc w:val="both"/>
        <w:rPr>
          <w:rFonts w:ascii="Cambria" w:hAnsi="Cambria"/>
          <w:sz w:val="22"/>
          <w:szCs w:val="22"/>
        </w:rPr>
      </w:pPr>
      <w:r>
        <w:rPr>
          <w:rFonts w:cs="Arial" w:ascii="Cambria" w:hAnsi="Cambria"/>
          <w:b/>
          <w:sz w:val="22"/>
          <w:szCs w:val="22"/>
        </w:rPr>
        <w:t>OŚWIADCZENIE DOTYCZĄCE PODANYCH INFORMACJI:</w:t>
      </w:r>
    </w:p>
    <w:p>
      <w:pPr>
        <w:pStyle w:val="Normal"/>
        <w:spacing w:lineRule="auto" w:line="276" w:before="120" w:after="120"/>
        <w:jc w:val="both"/>
        <w:rPr>
          <w:rFonts w:ascii="Cambria" w:hAnsi="Cambria"/>
          <w:sz w:val="22"/>
          <w:szCs w:val="22"/>
        </w:rPr>
      </w:pPr>
      <w:r>
        <w:rPr>
          <w:rFonts w:cs="Arial" w:ascii="Cambria" w:hAnsi="Cambria"/>
          <w:sz w:val="22"/>
          <w:szCs w:val="22"/>
        </w:rPr>
        <w:t xml:space="preserve">Oświadczam, że wszystkie informacje podane w powyższych oświadczeniach są aktualne </w:t>
        <w:br/>
        <w:t>i zgodne z prawdą oraz zostały przedstawione z pełną świadomością konsekwencji wprowadzenia zamawiającego w błąd przy przedstawianiu informacji.</w:t>
      </w:r>
    </w:p>
    <w:p>
      <w:pPr>
        <w:pStyle w:val="Normal"/>
        <w:spacing w:lineRule="auto" w:line="276" w:before="120" w:after="120"/>
        <w:jc w:val="both"/>
        <w:rPr>
          <w:rFonts w:ascii="Cambria" w:hAnsi="Cambria" w:cs="Arial"/>
          <w:sz w:val="22"/>
          <w:szCs w:val="22"/>
        </w:rPr>
      </w:pPr>
      <w:r>
        <w:rPr>
          <w:rFonts w:cs="Arial" w:ascii="Cambria" w:hAnsi="Cambria"/>
          <w:sz w:val="22"/>
          <w:szCs w:val="22"/>
        </w:rPr>
      </w:r>
    </w:p>
    <w:tbl>
      <w:tblPr>
        <w:tblW w:w="5000" w:type="pct"/>
        <w:jc w:val="left"/>
        <w:tblInd w:w="0" w:type="dxa"/>
        <w:tblLayout w:type="fixed"/>
        <w:tblCellMar>
          <w:top w:w="55" w:type="dxa"/>
          <w:left w:w="55" w:type="dxa"/>
          <w:bottom w:w="55" w:type="dxa"/>
          <w:right w:w="55" w:type="dxa"/>
        </w:tblCellMar>
        <w:tblLook w:firstRow="1" w:noVBand="1" w:lastRow="0" w:firstColumn="1" w:lastColumn="0" w:noHBand="0" w:val="04a0"/>
      </w:tblPr>
      <w:tblGrid>
        <w:gridCol w:w="4535"/>
        <w:gridCol w:w="4536"/>
      </w:tblGrid>
      <w:tr>
        <w:trPr>
          <w:trHeight w:val="852" w:hRule="atLeast"/>
        </w:trPr>
        <w:tc>
          <w:tcPr>
            <w:tcW w:w="4535" w:type="dxa"/>
            <w:tcBorders/>
          </w:tcPr>
          <w:p>
            <w:pPr>
              <w:pStyle w:val="Akapitzlist1"/>
              <w:tabs>
                <w:tab w:val="clear" w:pos="708"/>
                <w:tab w:val="left" w:pos="732" w:leader="none"/>
                <w:tab w:val="left" w:pos="6372" w:leader="none"/>
              </w:tabs>
              <w:spacing w:lineRule="auto" w:line="276" w:before="120" w:after="120"/>
              <w:ind w:hanging="737" w:left="737"/>
              <w:contextualSpacing/>
              <w:jc w:val="center"/>
              <w:rPr>
                <w:rFonts w:ascii="Cambria" w:hAnsi="Cambria"/>
                <w:sz w:val="22"/>
                <w:szCs w:val="22"/>
              </w:rPr>
            </w:pPr>
            <w:r>
              <w:rPr>
                <w:rFonts w:ascii="Cambria" w:hAnsi="Cambria"/>
                <w:sz w:val="22"/>
                <w:szCs w:val="22"/>
              </w:rPr>
            </w:r>
          </w:p>
          <w:p>
            <w:pPr>
              <w:pStyle w:val="Akapitzlist1"/>
              <w:tabs>
                <w:tab w:val="clear" w:pos="708"/>
                <w:tab w:val="left" w:pos="732" w:leader="none"/>
                <w:tab w:val="left" w:pos="6372" w:leader="none"/>
              </w:tabs>
              <w:spacing w:lineRule="auto" w:line="276" w:before="120" w:after="120"/>
              <w:ind w:hanging="737" w:left="737"/>
              <w:contextualSpacing/>
              <w:jc w:val="center"/>
              <w:rPr>
                <w:rFonts w:ascii="Cambria" w:hAnsi="Cambria"/>
                <w:sz w:val="22"/>
                <w:szCs w:val="22"/>
              </w:rPr>
            </w:pPr>
            <w:r>
              <w:rPr>
                <w:rFonts w:ascii="Cambria" w:hAnsi="Cambria"/>
                <w:sz w:val="22"/>
                <w:szCs w:val="22"/>
              </w:rPr>
              <w:t>……………</w:t>
            </w:r>
            <w:r>
              <w:rPr>
                <w:rFonts w:ascii="Cambria" w:hAnsi="Cambria"/>
                <w:sz w:val="22"/>
                <w:szCs w:val="22"/>
              </w:rPr>
              <w:t xml:space="preserve">..….……. </w:t>
            </w:r>
            <w:r>
              <w:rPr>
                <w:rFonts w:ascii="Cambria" w:hAnsi="Cambria"/>
                <w:i/>
                <w:sz w:val="22"/>
                <w:szCs w:val="22"/>
              </w:rPr>
              <w:t xml:space="preserve">, </w:t>
            </w:r>
            <w:r>
              <w:rPr>
                <w:rFonts w:ascii="Cambria" w:hAnsi="Cambria"/>
                <w:sz w:val="22"/>
                <w:szCs w:val="22"/>
              </w:rPr>
              <w:t>dnia …….……. r</w:t>
            </w:r>
          </w:p>
          <w:p>
            <w:pPr>
              <w:pStyle w:val="Akapitzlist1"/>
              <w:tabs>
                <w:tab w:val="clear" w:pos="708"/>
                <w:tab w:val="left" w:pos="732" w:leader="none"/>
                <w:tab w:val="left" w:pos="6372" w:leader="none"/>
              </w:tabs>
              <w:spacing w:lineRule="auto" w:line="276" w:before="120" w:after="120"/>
              <w:ind w:hanging="737" w:left="737"/>
              <w:contextualSpacing/>
              <w:jc w:val="center"/>
              <w:rPr>
                <w:rFonts w:ascii="Cambria" w:hAnsi="Cambria"/>
                <w:sz w:val="22"/>
                <w:szCs w:val="22"/>
              </w:rPr>
            </w:pPr>
            <w:r>
              <w:rPr>
                <w:rFonts w:cs="Arial" w:ascii="Cambria" w:hAnsi="Cambria"/>
                <w:sz w:val="22"/>
                <w:szCs w:val="22"/>
              </w:rPr>
              <w:t>(miejscowość)</w:t>
            </w:r>
          </w:p>
        </w:tc>
        <w:tc>
          <w:tcPr>
            <w:tcW w:w="4536" w:type="dxa"/>
            <w:tcBorders/>
          </w:tcPr>
          <w:p>
            <w:pPr>
              <w:pStyle w:val="Akapitzlist1"/>
              <w:tabs>
                <w:tab w:val="clear" w:pos="708"/>
                <w:tab w:val="left" w:pos="732" w:leader="none"/>
                <w:tab w:val="left" w:pos="6372" w:leader="none"/>
              </w:tabs>
              <w:spacing w:lineRule="auto" w:line="276" w:before="120" w:after="120"/>
              <w:ind w:hanging="737" w:left="737"/>
              <w:contextualSpacing/>
              <w:jc w:val="center"/>
              <w:rPr>
                <w:rFonts w:ascii="Cambria" w:hAnsi="Cambria"/>
                <w:sz w:val="22"/>
                <w:szCs w:val="22"/>
              </w:rPr>
            </w:pPr>
            <w:r>
              <w:rPr>
                <w:rFonts w:ascii="Cambria" w:hAnsi="Cambria"/>
                <w:sz w:val="22"/>
                <w:szCs w:val="22"/>
              </w:rPr>
            </w:r>
          </w:p>
          <w:p>
            <w:pPr>
              <w:pStyle w:val="Akapitzlist1"/>
              <w:tabs>
                <w:tab w:val="clear" w:pos="708"/>
                <w:tab w:val="left" w:pos="732" w:leader="none"/>
                <w:tab w:val="left" w:pos="6372" w:leader="none"/>
              </w:tabs>
              <w:spacing w:lineRule="auto" w:line="276" w:before="120" w:after="120"/>
              <w:ind w:hanging="737" w:left="737"/>
              <w:contextualSpacing/>
              <w:jc w:val="center"/>
              <w:rPr>
                <w:rFonts w:ascii="Cambria" w:hAnsi="Cambria"/>
                <w:sz w:val="22"/>
                <w:szCs w:val="22"/>
              </w:rPr>
            </w:pPr>
            <w:r>
              <w:rPr>
                <w:rFonts w:ascii="Cambria" w:hAnsi="Cambria"/>
                <w:sz w:val="22"/>
                <w:szCs w:val="22"/>
              </w:rPr>
              <w:t>……………………………………</w:t>
            </w:r>
          </w:p>
          <w:p>
            <w:pPr>
              <w:pStyle w:val="Akapitzlist1"/>
              <w:tabs>
                <w:tab w:val="clear" w:pos="708"/>
                <w:tab w:val="left" w:pos="732" w:leader="none"/>
                <w:tab w:val="left" w:pos="6372" w:leader="none"/>
              </w:tabs>
              <w:spacing w:lineRule="auto" w:line="276" w:before="120" w:after="120"/>
              <w:ind w:hanging="737" w:left="737"/>
              <w:contextualSpacing/>
              <w:jc w:val="center"/>
              <w:rPr>
                <w:rFonts w:ascii="Cambria" w:hAnsi="Cambria"/>
                <w:sz w:val="22"/>
                <w:szCs w:val="22"/>
              </w:rPr>
            </w:pPr>
            <w:r>
              <w:rPr>
                <w:rFonts w:cs="Arial" w:ascii="Cambria" w:hAnsi="Cambria"/>
                <w:sz w:val="22"/>
                <w:szCs w:val="22"/>
              </w:rPr>
              <w:t>(podpis)</w:t>
            </w:r>
          </w:p>
        </w:tc>
      </w:tr>
    </w:tbl>
    <w:p>
      <w:pPr>
        <w:pStyle w:val="Normal"/>
        <w:spacing w:lineRule="auto" w:line="276"/>
        <w:rPr>
          <w:rFonts w:ascii="Cambria" w:hAnsi="Cambria"/>
          <w:sz w:val="22"/>
          <w:szCs w:val="22"/>
        </w:rPr>
      </w:pPr>
      <w:r>
        <w:rPr>
          <w:rFonts w:ascii="Cambria" w:hAnsi="Cambria"/>
          <w:sz w:val="22"/>
          <w:szCs w:val="22"/>
        </w:rPr>
      </w:r>
      <w:r>
        <w:br w:type="page"/>
      </w:r>
    </w:p>
    <w:tbl>
      <w:tblPr>
        <w:tblW w:w="9033" w:type="dxa"/>
        <w:jc w:val="left"/>
        <w:tblInd w:w="35" w:type="dxa"/>
        <w:tblLayout w:type="fixed"/>
        <w:tblCellMar>
          <w:top w:w="0" w:type="dxa"/>
          <w:left w:w="0" w:type="dxa"/>
          <w:bottom w:w="0" w:type="dxa"/>
          <w:right w:w="0" w:type="dxa"/>
        </w:tblCellMar>
        <w:tblLook w:firstRow="1" w:noVBand="1" w:lastRow="0" w:firstColumn="1" w:lastColumn="0" w:noHBand="0" w:val="04a0"/>
      </w:tblPr>
      <w:tblGrid>
        <w:gridCol w:w="4484"/>
        <w:gridCol w:w="4548"/>
      </w:tblGrid>
      <w:tr>
        <w:trPr/>
        <w:tc>
          <w:tcPr>
            <w:tcW w:w="4484" w:type="dxa"/>
            <w:tcBorders/>
          </w:tcPr>
          <w:p>
            <w:pPr>
              <w:pStyle w:val="Normal"/>
              <w:pageBreakBefore/>
              <w:spacing w:lineRule="auto" w:line="276" w:before="0" w:after="120"/>
              <w:rPr>
                <w:rFonts w:ascii="Cambria" w:hAnsi="Cambria"/>
                <w:sz w:val="22"/>
                <w:szCs w:val="22"/>
              </w:rPr>
            </w:pPr>
            <w:r>
              <w:rPr>
                <w:rFonts w:cs="Arial" w:ascii="Cambria" w:hAnsi="Cambria"/>
                <w:b/>
                <w:bCs/>
                <w:sz w:val="22"/>
                <w:szCs w:val="22"/>
              </w:rPr>
              <w:t>Wykonawca:</w:t>
            </w:r>
          </w:p>
          <w:p>
            <w:pPr>
              <w:pStyle w:val="Normal"/>
              <w:spacing w:lineRule="auto" w:line="276" w:before="0" w:after="120"/>
              <w:rPr>
                <w:rFonts w:ascii="Cambria" w:hAnsi="Cambria"/>
                <w:sz w:val="22"/>
                <w:szCs w:val="22"/>
              </w:rPr>
            </w:pPr>
            <w:r>
              <w:rPr>
                <w:rFonts w:cs="Arial" w:ascii="Cambria" w:hAnsi="Cambria"/>
                <w:sz w:val="22"/>
                <w:szCs w:val="22"/>
              </w:rPr>
              <w:t>……………………………………………………</w:t>
            </w:r>
          </w:p>
          <w:p>
            <w:pPr>
              <w:pStyle w:val="Normal"/>
              <w:spacing w:lineRule="auto" w:line="276" w:before="0" w:after="120"/>
              <w:rPr>
                <w:rFonts w:ascii="Cambria" w:hAnsi="Cambria"/>
                <w:sz w:val="22"/>
                <w:szCs w:val="22"/>
              </w:rPr>
            </w:pPr>
            <w:r>
              <w:rPr>
                <w:rFonts w:cs="Arial" w:ascii="Cambria" w:hAnsi="Cambria"/>
                <w:sz w:val="22"/>
                <w:szCs w:val="22"/>
              </w:rPr>
              <w:br/>
              <w:t>……………………………………………………</w:t>
              <w:br/>
            </w:r>
            <w:r>
              <w:rPr>
                <w:rFonts w:cs="Arial" w:ascii="Cambria" w:hAnsi="Cambria"/>
                <w:i/>
              </w:rPr>
              <w:t xml:space="preserve">(pełna nazwa/firma, adres, </w:t>
              <w:br/>
              <w:t>w zależności od podmiotu: NIP/PESEL, KRS/CEiDG)</w:t>
            </w:r>
          </w:p>
        </w:tc>
        <w:tc>
          <w:tcPr>
            <w:tcW w:w="4548" w:type="dxa"/>
            <w:tcBorders/>
          </w:tcPr>
          <w:p>
            <w:pPr>
              <w:pStyle w:val="Normal"/>
              <w:spacing w:lineRule="auto" w:line="276" w:before="120" w:after="120"/>
              <w:jc w:val="right"/>
              <w:rPr>
                <w:rFonts w:ascii="Cambria" w:hAnsi="Cambria"/>
                <w:sz w:val="22"/>
                <w:szCs w:val="22"/>
              </w:rPr>
            </w:pPr>
            <w:r>
              <w:rPr>
                <w:rFonts w:cs="Arial" w:ascii="Cambria" w:hAnsi="Cambria"/>
                <w:b/>
                <w:i/>
                <w:sz w:val="22"/>
                <w:szCs w:val="22"/>
              </w:rPr>
              <w:t>Załącznik nr 3A do SWZ</w:t>
              <w:br/>
            </w:r>
            <w:r>
              <w:rPr>
                <w:rFonts w:cs="Arial" w:ascii="Cambria" w:hAnsi="Cambria"/>
                <w:b/>
                <w:sz w:val="22"/>
                <w:szCs w:val="22"/>
              </w:rPr>
              <w:t>Zamawiający: Gmina Skała</w:t>
            </w:r>
          </w:p>
        </w:tc>
      </w:tr>
      <w:tr>
        <w:trPr/>
        <w:tc>
          <w:tcPr>
            <w:tcW w:w="4484" w:type="dxa"/>
            <w:tcBorders/>
          </w:tcPr>
          <w:p>
            <w:pPr>
              <w:pStyle w:val="Normal"/>
              <w:spacing w:lineRule="auto" w:line="276" w:before="120" w:after="120"/>
              <w:rPr>
                <w:rFonts w:ascii="Cambria" w:hAnsi="Cambria"/>
                <w:sz w:val="22"/>
                <w:szCs w:val="22"/>
              </w:rPr>
            </w:pPr>
            <w:r>
              <w:rPr>
                <w:rFonts w:cs="Arial" w:ascii="Cambria" w:hAnsi="Cambria"/>
                <w:sz w:val="22"/>
                <w:szCs w:val="22"/>
                <w:u w:val="single"/>
              </w:rPr>
              <w:t>reprezentowany przez:</w:t>
            </w:r>
          </w:p>
          <w:p>
            <w:pPr>
              <w:pStyle w:val="Normal"/>
              <w:spacing w:lineRule="auto" w:line="276" w:before="120" w:after="120"/>
              <w:rPr>
                <w:rFonts w:ascii="Cambria" w:hAnsi="Cambria"/>
                <w:sz w:val="22"/>
                <w:szCs w:val="22"/>
              </w:rPr>
            </w:pPr>
            <w:r>
              <w:rPr>
                <w:rFonts w:cs="Arial" w:ascii="Cambria" w:hAnsi="Cambria"/>
                <w:sz w:val="22"/>
                <w:szCs w:val="22"/>
              </w:rPr>
              <w:t>……………………………………………</w:t>
            </w:r>
          </w:p>
          <w:p>
            <w:pPr>
              <w:pStyle w:val="Normal"/>
              <w:spacing w:lineRule="auto" w:line="276" w:before="120" w:after="120"/>
              <w:rPr>
                <w:rFonts w:ascii="Cambria" w:hAnsi="Cambria"/>
                <w:sz w:val="22"/>
                <w:szCs w:val="22"/>
              </w:rPr>
            </w:pPr>
            <w:r>
              <w:rPr>
                <w:rFonts w:cs="Arial" w:ascii="Cambria" w:hAnsi="Cambria"/>
                <w:sz w:val="22"/>
                <w:szCs w:val="22"/>
              </w:rPr>
              <w:br/>
              <w:t>……………………..………………………</w:t>
              <w:br/>
            </w:r>
            <w:r>
              <w:rPr>
                <w:rFonts w:cs="Arial" w:ascii="Cambria" w:hAnsi="Cambria"/>
                <w:i/>
              </w:rPr>
              <w:t>(imię, nazwisko, stanowisko/podstawa do reprezentacji)</w:t>
            </w:r>
          </w:p>
        </w:tc>
        <w:tc>
          <w:tcPr>
            <w:tcW w:w="4548" w:type="dxa"/>
            <w:tcBorders/>
          </w:tcPr>
          <w:p>
            <w:pPr>
              <w:pStyle w:val="Zawartotabeli"/>
              <w:spacing w:lineRule="auto" w:line="276"/>
              <w:rPr>
                <w:rFonts w:ascii="Cambria" w:hAnsi="Cambria"/>
                <w:sz w:val="22"/>
                <w:szCs w:val="22"/>
              </w:rPr>
            </w:pPr>
            <w:r>
              <w:rPr>
                <w:rFonts w:ascii="Cambria" w:hAnsi="Cambria"/>
                <w:sz w:val="22"/>
                <w:szCs w:val="22"/>
              </w:rPr>
            </w:r>
          </w:p>
        </w:tc>
      </w:tr>
    </w:tbl>
    <w:p>
      <w:pPr>
        <w:pStyle w:val="Normal"/>
        <w:spacing w:lineRule="auto" w:line="360"/>
        <w:jc w:val="center"/>
        <w:rPr>
          <w:rFonts w:ascii="Cambria" w:hAnsi="Cambria" w:cs="Arial"/>
          <w:b/>
          <w:iCs/>
          <w:sz w:val="22"/>
          <w:szCs w:val="22"/>
          <w:u w:val="single"/>
        </w:rPr>
      </w:pPr>
      <w:r>
        <w:rPr>
          <w:rFonts w:cs="Arial" w:ascii="Cambria" w:hAnsi="Cambria"/>
          <w:b/>
          <w:iCs/>
          <w:sz w:val="22"/>
          <w:szCs w:val="22"/>
          <w:u w:val="single"/>
        </w:rPr>
      </w:r>
    </w:p>
    <w:p>
      <w:pPr>
        <w:pStyle w:val="Normal"/>
        <w:spacing w:lineRule="auto" w:line="360"/>
        <w:jc w:val="center"/>
        <w:rPr>
          <w:rFonts w:ascii="Cambria" w:hAnsi="Cambria" w:cs="Arial"/>
          <w:b/>
          <w:iCs/>
          <w:sz w:val="22"/>
          <w:szCs w:val="22"/>
          <w:u w:val="single"/>
        </w:rPr>
      </w:pPr>
      <w:r>
        <w:rPr>
          <w:rFonts w:cs="Arial" w:ascii="Cambria" w:hAnsi="Cambria"/>
          <w:b/>
          <w:iCs/>
          <w:sz w:val="22"/>
          <w:szCs w:val="22"/>
          <w:u w:val="single"/>
        </w:rPr>
        <w:t>Oświadczenia podmiotu udostępniającego zasoby</w:t>
      </w:r>
    </w:p>
    <w:p>
      <w:pPr>
        <w:pStyle w:val="Normal"/>
        <w:spacing w:lineRule="auto" w:line="360"/>
        <w:jc w:val="center"/>
        <w:rPr/>
      </w:pPr>
      <w:r>
        <w:rPr>
          <w:rFonts w:cs="Arial" w:ascii="Cambria" w:hAnsi="Cambria"/>
          <w:b/>
          <w:iCs/>
          <w:sz w:val="22"/>
          <w:szCs w:val="22"/>
          <w:u w:val="single"/>
        </w:rPr>
        <w:t xml:space="preserve">DOTYCZĄCE PRZESŁANEK WYKLUCZENIA ART. 7 UST. 1 USTAWY </w:t>
        <w:br/>
        <w:t>o szczególnych rozwiązaniach w zakresie przeciwdziałania wspieraniu agresji na Ukrainę oraz służących ochronie bezpieczeństwa narodowego</w:t>
      </w:r>
    </w:p>
    <w:p>
      <w:pPr>
        <w:pStyle w:val="Normal"/>
        <w:spacing w:lineRule="auto" w:line="360"/>
        <w:rPr>
          <w:rFonts w:ascii="Cambria" w:hAnsi="Cambria" w:cs="Arial"/>
          <w:b/>
          <w:iCs/>
          <w:sz w:val="22"/>
          <w:szCs w:val="22"/>
        </w:rPr>
      </w:pPr>
      <w:r>
        <w:rPr>
          <w:rFonts w:cs="Arial" w:ascii="Cambria" w:hAnsi="Cambria"/>
          <w:b/>
          <w:iCs/>
          <w:sz w:val="22"/>
          <w:szCs w:val="22"/>
        </w:rPr>
      </w:r>
    </w:p>
    <w:p>
      <w:pPr>
        <w:pStyle w:val="Normal"/>
        <w:spacing w:lineRule="auto" w:line="360"/>
        <w:rPr>
          <w:rFonts w:ascii="Cambria" w:hAnsi="Cambria" w:cs="Arial"/>
          <w:b/>
          <w:iCs/>
          <w:sz w:val="22"/>
          <w:szCs w:val="22"/>
        </w:rPr>
      </w:pPr>
      <w:r>
        <w:rPr>
          <w:rFonts w:cs="Arial" w:ascii="Cambria" w:hAnsi="Cambria"/>
          <w:b/>
          <w:iCs/>
          <w:sz w:val="22"/>
          <w:szCs w:val="22"/>
        </w:rPr>
        <w:t>składane na podstawie art. 125 ust. 5 ustawy Pzp</w:t>
      </w:r>
    </w:p>
    <w:p>
      <w:pPr>
        <w:pStyle w:val="Normal"/>
        <w:spacing w:lineRule="auto" w:line="360"/>
        <w:rPr>
          <w:rFonts w:ascii="Cambria" w:hAnsi="Cambria" w:cs="Arial"/>
          <w:b/>
          <w:bCs/>
          <w:i/>
          <w:i/>
          <w:iCs/>
          <w:sz w:val="22"/>
          <w:szCs w:val="22"/>
        </w:rPr>
      </w:pPr>
      <w:r>
        <w:rPr>
          <w:rFonts w:cs="Arial" w:ascii="Cambria" w:hAnsi="Cambria"/>
          <w:b/>
          <w:bCs/>
          <w:i/>
          <w:iCs/>
          <w:sz w:val="22"/>
          <w:szCs w:val="22"/>
        </w:rPr>
      </w:r>
    </w:p>
    <w:p>
      <w:pPr>
        <w:pStyle w:val="Normal"/>
        <w:spacing w:lineRule="auto" w:line="360"/>
        <w:rPr>
          <w:i/>
          <w:i/>
          <w:iCs/>
        </w:rPr>
      </w:pPr>
      <w:r>
        <w:rPr>
          <w:rFonts w:cs="Arial" w:ascii="Cambria" w:hAnsi="Cambria"/>
          <w:b/>
          <w:bCs/>
          <w:i/>
          <w:iCs/>
          <w:sz w:val="22"/>
          <w:szCs w:val="22"/>
        </w:rPr>
        <w:t>Dotyczy:</w:t>
      </w:r>
      <w:r>
        <w:rPr>
          <w:rFonts w:cs="Arial" w:ascii="Cambria" w:hAnsi="Cambria"/>
          <w:i/>
          <w:iCs/>
          <w:sz w:val="22"/>
          <w:szCs w:val="22"/>
        </w:rPr>
        <w:t xml:space="preserve"> postępowania o udzielenie zamówienia publicznego na  </w:t>
      </w:r>
      <w:r>
        <w:rPr>
          <w:rStyle w:val="FontStyle28"/>
          <w:rFonts w:cs="Calibri" w:ascii="Cambria" w:hAnsi="Cambria"/>
          <w:b/>
          <w:bCs/>
          <w:i/>
          <w:iCs/>
          <w:sz w:val="22"/>
          <w:szCs w:val="22"/>
          <w:lang w:eastAsia="pl-PL"/>
        </w:rPr>
        <w:t>„Budowa budynku służącego celom kulturalnym i społecznym w Rzeplinie”</w:t>
      </w:r>
    </w:p>
    <w:p>
      <w:pPr>
        <w:pStyle w:val="Akapitzlist1"/>
        <w:numPr>
          <w:ilvl w:val="0"/>
          <w:numId w:val="24"/>
        </w:numPr>
        <w:spacing w:lineRule="auto" w:line="360" w:before="120" w:after="120"/>
        <w:contextualSpacing/>
        <w:jc w:val="both"/>
        <w:rPr>
          <w:rFonts w:ascii="Cambria" w:hAnsi="Cambria" w:cs="Arial"/>
          <w:color w:val="auto"/>
          <w:sz w:val="22"/>
          <w:szCs w:val="22"/>
        </w:rPr>
      </w:pPr>
      <w:r>
        <w:rPr>
          <w:rFonts w:cs="Arial" w:ascii="Cambria" w:hAnsi="Cambria"/>
          <w:color w:val="auto"/>
          <w:sz w:val="22"/>
          <w:szCs w:val="22"/>
        </w:rPr>
        <w:t xml:space="preserve">Oświadczam, że nie podlegam wykluczeniu z postępowania na podstawie </w:t>
        <w:br/>
        <w:t>art. 108 ust 1 pkt 1-6 Pzp. oraz na podstawie art. 7 ust. 1 ustawy z dnia 13 kwietnia 2022r o szczególnych rozwiązaniach w zakresie przeciwdziałania wspieraniu agresji na Ukrainę oraz służących ochronie bezpieczeństwa narodowego</w:t>
      </w:r>
    </w:p>
    <w:p>
      <w:pPr>
        <w:pStyle w:val="Akapitzlist1"/>
        <w:numPr>
          <w:ilvl w:val="0"/>
          <w:numId w:val="24"/>
        </w:numPr>
        <w:spacing w:lineRule="auto" w:line="360" w:before="120" w:after="120"/>
        <w:contextualSpacing/>
        <w:jc w:val="both"/>
        <w:rPr/>
      </w:pPr>
      <w:r>
        <w:rPr>
          <w:rFonts w:cs="Arial" w:ascii="Cambria" w:hAnsi="Cambria"/>
          <w:color w:val="auto"/>
          <w:sz w:val="22"/>
          <w:szCs w:val="22"/>
        </w:rPr>
        <w:t xml:space="preserve">Oświadczam, że nie podlegam wykluczeniu z postępowania na podstawie </w:t>
        <w:br/>
        <w:t>art. 109 ust. 1 pkt.</w:t>
      </w:r>
      <w:r>
        <w:rPr>
          <w:rFonts w:cs="Arial" w:ascii="Cambria" w:hAnsi="Cambria"/>
          <w:strike/>
          <w:color w:val="auto"/>
          <w:sz w:val="22"/>
          <w:szCs w:val="22"/>
        </w:rPr>
        <w:t xml:space="preserve"> 1, 2, 3</w:t>
      </w:r>
      <w:r>
        <w:rPr>
          <w:rFonts w:cs="Arial" w:ascii="Cambria" w:hAnsi="Cambria"/>
          <w:color w:val="auto"/>
          <w:sz w:val="22"/>
          <w:szCs w:val="22"/>
        </w:rPr>
        <w:t>, 4, 5,</w:t>
      </w:r>
      <w:r>
        <w:rPr>
          <w:rFonts w:cs="Arial" w:ascii="Cambria" w:hAnsi="Cambria"/>
          <w:strike/>
          <w:color w:val="auto"/>
          <w:sz w:val="22"/>
          <w:szCs w:val="22"/>
        </w:rPr>
        <w:t xml:space="preserve"> 6,</w:t>
      </w:r>
      <w:r>
        <w:rPr>
          <w:rFonts w:cs="Arial" w:ascii="Cambria" w:hAnsi="Cambria"/>
          <w:color w:val="auto"/>
          <w:sz w:val="22"/>
          <w:szCs w:val="22"/>
        </w:rPr>
        <w:t xml:space="preserve"> 7, 8,</w:t>
      </w:r>
      <w:r>
        <w:rPr>
          <w:rFonts w:cs="Arial" w:ascii="Cambria" w:hAnsi="Cambria"/>
          <w:strike/>
          <w:color w:val="auto"/>
          <w:sz w:val="22"/>
          <w:szCs w:val="22"/>
        </w:rPr>
        <w:t xml:space="preserve"> 9, </w:t>
      </w:r>
      <w:r>
        <w:rPr>
          <w:rFonts w:cs="Arial" w:ascii="Cambria" w:hAnsi="Cambria"/>
          <w:color w:val="auto"/>
          <w:sz w:val="22"/>
          <w:szCs w:val="22"/>
        </w:rPr>
        <w:t>10</w:t>
      </w:r>
      <w:r>
        <w:rPr>
          <w:rFonts w:cs="Arial" w:ascii="Cambria" w:hAnsi="Cambria"/>
          <w:strike/>
          <w:color w:val="auto"/>
          <w:sz w:val="22"/>
          <w:szCs w:val="22"/>
        </w:rPr>
        <w:t xml:space="preserve"> </w:t>
      </w:r>
      <w:r>
        <w:rPr>
          <w:rFonts w:cs="Arial" w:ascii="Cambria" w:hAnsi="Cambria"/>
          <w:color w:val="auto"/>
          <w:sz w:val="22"/>
          <w:szCs w:val="22"/>
        </w:rPr>
        <w:t>ustawy Pzp</w:t>
      </w:r>
      <w:r>
        <w:rPr>
          <w:rFonts w:cs="Arial" w:ascii="Cambria" w:hAnsi="Cambria"/>
          <w:strike/>
          <w:color w:val="auto"/>
          <w:sz w:val="22"/>
          <w:szCs w:val="22"/>
        </w:rPr>
        <w:t xml:space="preserve">  .</w:t>
      </w:r>
    </w:p>
    <w:p>
      <w:pPr>
        <w:pStyle w:val="Akapitzlist1"/>
        <w:spacing w:lineRule="auto" w:line="360" w:before="120" w:after="120"/>
        <w:contextualSpacing/>
        <w:jc w:val="both"/>
        <w:rPr>
          <w:rFonts w:ascii="Cambria" w:hAnsi="Cambria" w:cs="Arial"/>
          <w:strike/>
          <w:color w:val="auto"/>
          <w:sz w:val="22"/>
          <w:szCs w:val="22"/>
        </w:rPr>
      </w:pPr>
      <w:r>
        <w:rPr>
          <w:rFonts w:cs="Arial" w:ascii="Cambria" w:hAnsi="Cambria"/>
          <w:strike/>
          <w:color w:val="auto"/>
          <w:sz w:val="22"/>
          <w:szCs w:val="22"/>
        </w:rPr>
      </w:r>
    </w:p>
    <w:p>
      <w:pPr>
        <w:pStyle w:val="Normal"/>
        <w:shd w:val="clear" w:color="auto" w:fill="BFBFBF"/>
        <w:spacing w:lineRule="auto" w:line="276" w:before="0" w:after="120"/>
        <w:rPr/>
      </w:pPr>
      <w:r>
        <w:rPr>
          <w:rFonts w:cs="Tahoma" w:ascii="Cambria" w:hAnsi="Cambria"/>
          <w:b/>
          <w:sz w:val="22"/>
          <w:szCs w:val="22"/>
        </w:rPr>
        <w:t>OŚWIADCZENIE DOTYCZĄCE WARUNKÓW UDZIAŁU W POSTĘPOWANIU:</w:t>
      </w:r>
    </w:p>
    <w:p>
      <w:pPr>
        <w:pStyle w:val="Normal"/>
        <w:spacing w:lineRule="auto" w:line="360"/>
        <w:jc w:val="both"/>
        <w:rPr/>
      </w:pPr>
      <w:r>
        <w:rPr>
          <w:rFonts w:cs="Tahoma" w:ascii="Cambria" w:hAnsi="Cambria"/>
          <w:sz w:val="22"/>
          <w:szCs w:val="22"/>
        </w:rPr>
        <w:t>Oświadczam, że spełniam warunki udziału w postępowaniu określone przez w Specyfikacji Warunków Zamówienia (SWZ)w zakresie, w którym udostępniam zasoby.</w:t>
      </w:r>
    </w:p>
    <w:p>
      <w:pPr>
        <w:pStyle w:val="Normal"/>
        <w:spacing w:lineRule="auto" w:line="276"/>
        <w:jc w:val="center"/>
        <w:rPr>
          <w:rFonts w:ascii="Cambria" w:hAnsi="Cambria"/>
          <w:sz w:val="22"/>
          <w:szCs w:val="22"/>
        </w:rPr>
      </w:pPr>
      <w:r>
        <w:rPr>
          <w:rFonts w:ascii="Cambria" w:hAnsi="Cambria"/>
          <w:sz w:val="22"/>
          <w:szCs w:val="22"/>
        </w:rPr>
      </w:r>
    </w:p>
    <w:p>
      <w:pPr>
        <w:pStyle w:val="Normal"/>
        <w:shd w:val="clear" w:color="auto" w:fill="BFBFBF"/>
        <w:spacing w:lineRule="auto" w:line="276" w:before="120" w:after="120"/>
        <w:jc w:val="both"/>
        <w:rPr>
          <w:rFonts w:ascii="Cambria" w:hAnsi="Cambria"/>
          <w:sz w:val="22"/>
          <w:szCs w:val="22"/>
        </w:rPr>
      </w:pPr>
      <w:r>
        <w:rPr>
          <w:rFonts w:cs="Arial" w:ascii="Cambria" w:hAnsi="Cambria"/>
          <w:b/>
          <w:sz w:val="22"/>
          <w:szCs w:val="22"/>
        </w:rPr>
        <w:t>OŚWIADCZENIE DOTYCZĄCE PODANYCH INFORMACJI:</w:t>
      </w:r>
    </w:p>
    <w:p>
      <w:pPr>
        <w:pStyle w:val="Normal"/>
        <w:spacing w:lineRule="auto" w:line="360"/>
        <w:jc w:val="both"/>
        <w:rPr>
          <w:rFonts w:ascii="Cambria" w:hAnsi="Cambria" w:cs="Arial"/>
          <w:iCs/>
          <w:sz w:val="22"/>
          <w:szCs w:val="22"/>
        </w:rPr>
      </w:pPr>
      <w:r>
        <w:rPr>
          <w:rFonts w:cs="Arial" w:ascii="Cambria" w:hAnsi="Cambria"/>
          <w:iCs/>
          <w:sz w:val="22"/>
          <w:szCs w:val="22"/>
        </w:rPr>
        <w:t xml:space="preserve">Oświadczam, że wszystkie informacje podane w powyższych oświadczeniach są aktualne </w:t>
        <w:br/>
        <w:t>i zgodne z prawdą oraz zostały przedstawione z pełną świadomością konsekwencji wprowadzenia zamawiającego w błąd przy przedstawianiu informacji.</w:t>
      </w:r>
    </w:p>
    <w:p>
      <w:pPr>
        <w:pStyle w:val="Normal"/>
        <w:spacing w:lineRule="auto" w:line="360"/>
        <w:jc w:val="both"/>
        <w:rPr>
          <w:rFonts w:ascii="Cambria" w:hAnsi="Cambria" w:cs="Arial"/>
          <w:iCs/>
          <w:sz w:val="22"/>
          <w:szCs w:val="22"/>
        </w:rPr>
      </w:pPr>
      <w:r>
        <w:rPr>
          <w:rFonts w:cs="Arial" w:ascii="Cambria" w:hAnsi="Cambria"/>
          <w:iCs/>
          <w:sz w:val="22"/>
          <w:szCs w:val="22"/>
        </w:rPr>
      </w:r>
    </w:p>
    <w:p>
      <w:pPr>
        <w:pStyle w:val="Normal"/>
        <w:spacing w:lineRule="auto" w:line="360"/>
        <w:jc w:val="both"/>
        <w:rPr>
          <w:rFonts w:ascii="Cambria" w:hAnsi="Cambria" w:cs="Arial"/>
          <w:iCs/>
          <w:sz w:val="22"/>
          <w:szCs w:val="22"/>
        </w:rPr>
      </w:pPr>
      <w:r>
        <w:rPr>
          <w:rFonts w:cs="Arial" w:ascii="Cambria" w:hAnsi="Cambria"/>
          <w:iCs/>
          <w:sz w:val="22"/>
          <w:szCs w:val="22"/>
        </w:rPr>
      </w:r>
    </w:p>
    <w:p>
      <w:pPr>
        <w:pStyle w:val="Normal"/>
        <w:shd w:val="clear" w:color="auto" w:fill="BFBFBF"/>
        <w:spacing w:lineRule="auto" w:line="276" w:before="120" w:after="120"/>
        <w:jc w:val="both"/>
        <w:rPr>
          <w:rFonts w:ascii="Cambria" w:hAnsi="Cambria"/>
          <w:sz w:val="22"/>
          <w:szCs w:val="22"/>
        </w:rPr>
      </w:pPr>
      <w:r>
        <w:rPr>
          <w:rFonts w:cs="Arial" w:ascii="Cambria" w:hAnsi="Cambria"/>
          <w:b/>
          <w:sz w:val="22"/>
          <w:szCs w:val="22"/>
        </w:rPr>
        <w:t>INFORMACJA DOTYCZĄCA DOSTĘPU DO PODMIOTOWYCH ŚRODKÓW DOWODOWYCH:</w:t>
      </w:r>
    </w:p>
    <w:p>
      <w:pPr>
        <w:pStyle w:val="Normal"/>
        <w:spacing w:lineRule="auto" w:line="360"/>
        <w:jc w:val="both"/>
        <w:rPr>
          <w:rFonts w:ascii="Cambria" w:hAnsi="Cambria" w:cs="Arial"/>
          <w:iCs/>
          <w:sz w:val="22"/>
          <w:szCs w:val="22"/>
        </w:rPr>
      </w:pPr>
      <w:r>
        <w:rPr>
          <w:rFonts w:cs="Arial" w:ascii="Cambria" w:hAnsi="Cambria"/>
          <w:iCs/>
          <w:sz w:val="22"/>
          <w:szCs w:val="22"/>
        </w:rPr>
        <w:t>Wskazuję następujące podmiotowe środki dowodowe, które można uzyskać za pomocą bezpłatnych i ogólnodostępnych baz danych, oraz dane umożliwiające dostęp do tych środków:</w:t>
      </w:r>
    </w:p>
    <w:p>
      <w:pPr>
        <w:pStyle w:val="Normal"/>
        <w:spacing w:lineRule="auto" w:line="360"/>
        <w:jc w:val="both"/>
        <w:rPr>
          <w:rFonts w:ascii="Cambria" w:hAnsi="Cambria" w:cs="Arial"/>
          <w:iCs/>
          <w:sz w:val="22"/>
          <w:szCs w:val="22"/>
        </w:rPr>
      </w:pPr>
      <w:r>
        <w:rPr>
          <w:rFonts w:cs="Arial" w:ascii="Cambria" w:hAnsi="Cambria"/>
          <w:iCs/>
          <w:sz w:val="22"/>
          <w:szCs w:val="22"/>
        </w:rPr>
      </w:r>
    </w:p>
    <w:p>
      <w:pPr>
        <w:pStyle w:val="Normal"/>
        <w:spacing w:lineRule="auto" w:line="360"/>
        <w:jc w:val="both"/>
        <w:rPr/>
      </w:pPr>
      <w:r>
        <w:rPr>
          <w:rFonts w:cs="Arial" w:ascii="Cambria" w:hAnsi="Cambria"/>
          <w:iCs/>
          <w:sz w:val="22"/>
          <w:szCs w:val="22"/>
        </w:rPr>
        <w:t>1) ......................................................................................................................................................</w:t>
      </w:r>
    </w:p>
    <w:p>
      <w:pPr>
        <w:pStyle w:val="Normal"/>
        <w:spacing w:lineRule="auto" w:line="360"/>
        <w:jc w:val="both"/>
        <w:rPr>
          <w:rFonts w:ascii="Cambria" w:hAnsi="Cambria" w:cs="Arial"/>
          <w:i/>
          <w:i/>
          <w:iCs/>
        </w:rPr>
      </w:pPr>
      <w:r>
        <w:rPr>
          <w:rFonts w:cs="Arial" w:ascii="Cambria" w:hAnsi="Cambria"/>
          <w:i/>
          <w:iCs/>
        </w:rPr>
        <w:t>(wskazać podmiotowy środek dowodowy, adres internetowy, wydający urząd lub organ, dokładne dane referencyjne dokumentacji)</w:t>
      </w:r>
    </w:p>
    <w:p>
      <w:pPr>
        <w:pStyle w:val="Normal"/>
        <w:spacing w:lineRule="auto" w:line="360"/>
        <w:jc w:val="both"/>
        <w:rPr>
          <w:rFonts w:ascii="Cambria" w:hAnsi="Cambria" w:cs="Arial"/>
          <w:i/>
          <w:i/>
          <w:iCs/>
        </w:rPr>
      </w:pPr>
      <w:r>
        <w:rPr>
          <w:rFonts w:cs="Arial" w:ascii="Cambria" w:hAnsi="Cambria"/>
          <w:i/>
          <w:iCs/>
        </w:rPr>
      </w:r>
    </w:p>
    <w:p>
      <w:pPr>
        <w:pStyle w:val="Normal"/>
        <w:spacing w:lineRule="auto" w:line="360"/>
        <w:jc w:val="both"/>
        <w:rPr/>
      </w:pPr>
      <w:r>
        <w:rPr>
          <w:rFonts w:cs="Arial" w:ascii="Cambria" w:hAnsi="Cambria"/>
          <w:iCs/>
          <w:sz w:val="22"/>
          <w:szCs w:val="22"/>
        </w:rPr>
        <w:t>2) .......................................................................................................................................................</w:t>
      </w:r>
    </w:p>
    <w:p>
      <w:pPr>
        <w:pStyle w:val="Normal"/>
        <w:spacing w:lineRule="auto" w:line="360"/>
        <w:jc w:val="both"/>
        <w:rPr>
          <w:i/>
          <w:i/>
          <w:iCs/>
        </w:rPr>
      </w:pPr>
      <w:r>
        <w:rPr>
          <w:rFonts w:cs="Arial" w:ascii="Cambria" w:hAnsi="Cambria"/>
          <w:i/>
          <w:iCs/>
        </w:rPr>
        <w:t>(wskazać podmiotowy środek dowodowy, adres internetowy, wydający urząd lub organ, dokładne dane referencyjne dokumentacji)</w:t>
      </w:r>
    </w:p>
    <w:p>
      <w:pPr>
        <w:pStyle w:val="Normal"/>
        <w:spacing w:lineRule="auto" w:line="360"/>
        <w:rPr>
          <w:rFonts w:ascii="Cambria" w:hAnsi="Cambria" w:cs="Arial"/>
          <w:iCs/>
          <w:sz w:val="22"/>
          <w:szCs w:val="22"/>
        </w:rPr>
      </w:pPr>
      <w:r>
        <w:rPr>
          <w:rFonts w:cs="Arial" w:ascii="Cambria" w:hAnsi="Cambria"/>
          <w:iCs/>
          <w:sz w:val="22"/>
          <w:szCs w:val="22"/>
        </w:rPr>
      </w:r>
    </w:p>
    <w:p>
      <w:pPr>
        <w:pStyle w:val="Normal"/>
        <w:spacing w:lineRule="auto" w:line="360"/>
        <w:rPr>
          <w:rFonts w:ascii="Cambria" w:hAnsi="Cambria" w:cs="Arial"/>
          <w:iCs/>
          <w:sz w:val="22"/>
          <w:szCs w:val="22"/>
        </w:rPr>
      </w:pPr>
      <w:r>
        <w:rPr>
          <w:rFonts w:cs="Arial" w:ascii="Cambria" w:hAnsi="Cambria"/>
          <w:iCs/>
          <w:sz w:val="22"/>
          <w:szCs w:val="22"/>
        </w:rPr>
      </w:r>
    </w:p>
    <w:p>
      <w:pPr>
        <w:pStyle w:val="Normal"/>
        <w:spacing w:lineRule="auto" w:line="360"/>
        <w:jc w:val="right"/>
        <w:rPr/>
      </w:pPr>
      <w:r>
        <w:rPr>
          <w:rFonts w:cs="Arial" w:ascii="Cambria" w:hAnsi="Cambria"/>
          <w:iCs/>
          <w:sz w:val="22"/>
          <w:szCs w:val="22"/>
        </w:rPr>
        <w:tab/>
        <w:tab/>
        <w:tab/>
        <w:tab/>
        <w:tab/>
        <w:tab/>
        <w:tab/>
        <w:t>………………………...…………………………………….</w:t>
      </w:r>
    </w:p>
    <w:p>
      <w:pPr>
        <w:pStyle w:val="Normal"/>
        <w:spacing w:lineRule="auto" w:line="360"/>
        <w:jc w:val="right"/>
        <w:rPr/>
      </w:pPr>
      <w:r>
        <w:rPr>
          <w:rFonts w:cs="Arial" w:ascii="Cambria" w:hAnsi="Cambria"/>
          <w:iCs/>
          <w:sz w:val="22"/>
          <w:szCs w:val="22"/>
        </w:rPr>
        <w:tab/>
        <w:tab/>
        <w:tab/>
        <w:tab/>
        <w:tab/>
      </w:r>
      <w:r>
        <w:rPr>
          <w:rFonts w:cs="Arial" w:ascii="Cambria" w:hAnsi="Cambria"/>
          <w:i/>
          <w:iCs/>
        </w:rPr>
        <w:tab/>
        <w:tab/>
        <w:t xml:space="preserve">[Data; </w:t>
      </w:r>
      <w:bookmarkStart w:id="11" w:name="_Hlk102639179"/>
      <w:r>
        <w:rPr>
          <w:rFonts w:cs="Arial" w:ascii="Cambria" w:hAnsi="Cambria"/>
          <w:i/>
          <w:iCs/>
        </w:rPr>
        <w:t xml:space="preserve">kwalifikowany podpis elektroniczny </w:t>
      </w:r>
      <w:bookmarkEnd w:id="11"/>
      <w:r>
        <w:rPr>
          <w:rFonts w:cs="Arial" w:ascii="Cambria" w:hAnsi="Cambria"/>
          <w:i/>
          <w:iCs/>
          <w:sz w:val="22"/>
          <w:szCs w:val="22"/>
        </w:rPr>
        <w:t>]</w:t>
      </w:r>
    </w:p>
    <w:p>
      <w:pPr>
        <w:pStyle w:val="Normal"/>
        <w:spacing w:lineRule="auto" w:line="360"/>
        <w:rPr>
          <w:rFonts w:ascii="Cambria" w:hAnsi="Cambria" w:cs="Arial"/>
          <w:iCs/>
          <w:color w:val="FF0000"/>
          <w:sz w:val="22"/>
          <w:szCs w:val="22"/>
        </w:rPr>
      </w:pPr>
      <w:r>
        <w:rPr>
          <w:rFonts w:cs="Arial" w:ascii="Cambria" w:hAnsi="Cambria"/>
          <w:iCs/>
          <w:color w:val="FF0000"/>
          <w:sz w:val="22"/>
          <w:szCs w:val="22"/>
        </w:rPr>
      </w:r>
    </w:p>
    <w:p>
      <w:pPr>
        <w:pStyle w:val="Normal"/>
        <w:spacing w:lineRule="auto" w:line="360"/>
        <w:rPr>
          <w:rFonts w:ascii="Cambria" w:hAnsi="Cambria" w:cs="Arial"/>
          <w:iCs/>
          <w:color w:val="FF0000"/>
          <w:sz w:val="22"/>
          <w:szCs w:val="22"/>
        </w:rPr>
      </w:pPr>
      <w:r>
        <w:rPr>
          <w:rFonts w:cs="Arial" w:ascii="Cambria" w:hAnsi="Cambria"/>
          <w:iCs/>
          <w:color w:val="FF0000"/>
          <w:sz w:val="22"/>
          <w:szCs w:val="22"/>
        </w:rPr>
      </w:r>
    </w:p>
    <w:p>
      <w:pPr>
        <w:pStyle w:val="Normal"/>
        <w:spacing w:lineRule="auto" w:line="360"/>
        <w:rPr>
          <w:rFonts w:ascii="Cambria" w:hAnsi="Cambria" w:cs="Arial"/>
          <w:i/>
          <w:i/>
          <w:color w:val="FF0000"/>
          <w:sz w:val="22"/>
          <w:szCs w:val="22"/>
        </w:rPr>
      </w:pPr>
      <w:r>
        <w:rPr>
          <w:rFonts w:cs="Arial" w:ascii="Cambria" w:hAnsi="Cambria"/>
          <w:i/>
          <w:color w:val="FF0000"/>
          <w:sz w:val="22"/>
          <w:szCs w:val="22"/>
        </w:rPr>
      </w:r>
    </w:p>
    <w:p>
      <w:pPr>
        <w:pStyle w:val="Normal"/>
        <w:spacing w:lineRule="auto" w:line="360"/>
        <w:rPr>
          <w:rFonts w:ascii="Cambria" w:hAnsi="Cambria" w:cs="Arial"/>
          <w:i/>
          <w:i/>
          <w:sz w:val="22"/>
          <w:szCs w:val="22"/>
        </w:rPr>
      </w:pPr>
      <w:r>
        <w:rPr>
          <w:rFonts w:cs="Arial" w:ascii="Cambria" w:hAnsi="Cambria"/>
          <w:i/>
          <w:sz w:val="22"/>
          <w:szCs w:val="22"/>
        </w:rPr>
      </w:r>
    </w:p>
    <w:p>
      <w:pPr>
        <w:pStyle w:val="Normal"/>
        <w:rPr>
          <w:rFonts w:ascii="Cambria" w:hAnsi="Cambria" w:cs="Arial"/>
          <w:i/>
          <w:i/>
          <w:sz w:val="22"/>
          <w:szCs w:val="22"/>
        </w:rPr>
      </w:pPr>
      <w:r>
        <w:rPr>
          <w:rFonts w:cs="Arial" w:ascii="Cambria" w:hAnsi="Cambria"/>
          <w:i/>
          <w:sz w:val="22"/>
          <w:szCs w:val="22"/>
        </w:rPr>
      </w:r>
    </w:p>
    <w:p>
      <w:pPr>
        <w:pStyle w:val="Normal"/>
        <w:spacing w:lineRule="auto" w:line="360"/>
        <w:rPr>
          <w:rFonts w:ascii="Cambria" w:hAnsi="Cambria"/>
          <w:iCs/>
          <w:sz w:val="22"/>
          <w:szCs w:val="22"/>
        </w:rPr>
      </w:pPr>
      <w:r>
        <w:rPr>
          <w:rFonts w:ascii="Cambria" w:hAnsi="Cambria"/>
          <w:iCs/>
          <w:sz w:val="22"/>
          <w:szCs w:val="22"/>
        </w:rPr>
      </w:r>
    </w:p>
    <w:p>
      <w:pPr>
        <w:pStyle w:val="Normal"/>
        <w:spacing w:lineRule="auto" w:line="360"/>
        <w:rPr>
          <w:rFonts w:ascii="Cambria" w:hAnsi="Cambria"/>
          <w:i/>
          <w:i/>
          <w:sz w:val="22"/>
          <w:szCs w:val="22"/>
        </w:rPr>
      </w:pPr>
      <w:r>
        <w:rPr>
          <w:rFonts w:ascii="Cambria" w:hAnsi="Cambria"/>
          <w:i/>
          <w:sz w:val="22"/>
          <w:szCs w:val="22"/>
        </w:rPr>
      </w:r>
    </w:p>
    <w:p>
      <w:pPr>
        <w:pStyle w:val="Normal"/>
        <w:spacing w:lineRule="auto" w:line="360"/>
        <w:rPr>
          <w:rFonts w:ascii="Cambria" w:hAnsi="Cambria"/>
          <w:i/>
          <w:i/>
          <w:sz w:val="22"/>
          <w:szCs w:val="22"/>
        </w:rPr>
      </w:pPr>
      <w:r>
        <w:rPr>
          <w:rFonts w:ascii="Cambria" w:hAnsi="Cambria"/>
          <w:i/>
          <w:sz w:val="22"/>
          <w:szCs w:val="22"/>
        </w:rPr>
      </w:r>
    </w:p>
    <w:p>
      <w:pPr>
        <w:pStyle w:val="Normal"/>
        <w:rPr>
          <w:rFonts w:ascii="Cambria" w:hAnsi="Cambria"/>
          <w:i/>
          <w:i/>
          <w:sz w:val="22"/>
          <w:szCs w:val="22"/>
        </w:rPr>
      </w:pPr>
      <w:r>
        <w:rPr>
          <w:rFonts w:ascii="Cambria" w:hAnsi="Cambria"/>
          <w:i/>
          <w:sz w:val="22"/>
          <w:szCs w:val="22"/>
        </w:rPr>
      </w:r>
      <w:r>
        <w:br w:type="page"/>
      </w:r>
    </w:p>
    <w:p>
      <w:pPr>
        <w:pStyle w:val="Normal"/>
        <w:spacing w:lineRule="auto" w:line="360" w:before="0" w:after="0"/>
        <w:rPr>
          <w:rFonts w:ascii="Cambria" w:hAnsi="Cambria"/>
          <w:i/>
          <w:i/>
          <w:sz w:val="22"/>
          <w:szCs w:val="22"/>
        </w:rPr>
      </w:pPr>
      <w:r>
        <w:rPr>
          <w:rFonts w:ascii="Cambria" w:hAnsi="Cambria"/>
          <w:i/>
          <w:sz w:val="22"/>
          <w:szCs w:val="22"/>
        </w:rPr>
      </w:r>
    </w:p>
    <w:p>
      <w:pPr>
        <w:pStyle w:val="Title"/>
        <w:spacing w:lineRule="auto" w:line="360" w:before="120" w:after="120"/>
        <w:jc w:val="right"/>
        <w:rPr>
          <w:rFonts w:ascii="Cambria" w:hAnsi="Cambria"/>
        </w:rPr>
      </w:pPr>
      <w:r>
        <w:rPr>
          <w:rFonts w:ascii="Cambria" w:hAnsi="Cambria"/>
          <w:i/>
          <w:sz w:val="22"/>
          <w:szCs w:val="22"/>
        </w:rPr>
        <w:t>Załącznik nr 4  SWZ</w:t>
      </w:r>
    </w:p>
    <w:p>
      <w:pPr>
        <w:pStyle w:val="Normal"/>
        <w:spacing w:lineRule="auto" w:line="360" w:before="120" w:after="0"/>
        <w:jc w:val="right"/>
        <w:rPr>
          <w:rFonts w:ascii="Cambria" w:hAnsi="Cambria"/>
          <w:i/>
          <w:i/>
          <w:sz w:val="22"/>
          <w:szCs w:val="22"/>
        </w:rPr>
      </w:pPr>
      <w:r>
        <w:rPr>
          <w:rFonts w:ascii="Cambria" w:hAnsi="Cambria"/>
          <w:i/>
          <w:sz w:val="22"/>
          <w:szCs w:val="22"/>
        </w:rPr>
      </w:r>
    </w:p>
    <w:p>
      <w:pPr>
        <w:pStyle w:val="Normal"/>
        <w:suppressAutoHyphens w:val="false"/>
        <w:spacing w:lineRule="auto" w:line="360" w:before="0" w:after="120"/>
        <w:jc w:val="both"/>
        <w:rPr/>
      </w:pPr>
      <w:r>
        <w:rPr>
          <w:rFonts w:ascii="Cambria" w:hAnsi="Cambria"/>
          <w:sz w:val="22"/>
          <w:szCs w:val="22"/>
        </w:rPr>
        <w:t xml:space="preserve">Dotyczy: postępowania o udzielenie zamówienia publicznego na wykonanie robót budowlanych </w:t>
      </w:r>
      <w:r>
        <w:rPr>
          <w:rStyle w:val="FontStyle28"/>
          <w:rFonts w:cs="Times New Roman" w:ascii="Cambria" w:hAnsi="Cambria"/>
          <w:sz w:val="22"/>
          <w:szCs w:val="22"/>
          <w:lang w:eastAsia="pl-PL"/>
        </w:rPr>
        <w:t>pod nazwą</w:t>
      </w:r>
      <w:r>
        <w:rPr>
          <w:rStyle w:val="FontStyle28"/>
          <w:rFonts w:cs="Times New Roman" w:ascii="Cambria" w:hAnsi="Cambria"/>
          <w:b/>
          <w:bCs/>
          <w:sz w:val="22"/>
          <w:szCs w:val="22"/>
          <w:lang w:eastAsia="pl-PL"/>
        </w:rPr>
        <w:t xml:space="preserve"> </w:t>
      </w:r>
      <w:r>
        <w:rPr>
          <w:rStyle w:val="FontStyle28"/>
          <w:rFonts w:cs="Calibri" w:ascii="Cambria" w:hAnsi="Cambria"/>
          <w:b/>
          <w:bCs/>
          <w:sz w:val="22"/>
          <w:szCs w:val="22"/>
          <w:lang w:eastAsia="pl-PL"/>
        </w:rPr>
        <w:t>„</w:t>
      </w:r>
      <w:r>
        <w:rPr>
          <w:rStyle w:val="FontStyle28"/>
          <w:rFonts w:ascii="Cambria" w:hAnsi="Cambria"/>
          <w:b/>
          <w:bCs/>
          <w:sz w:val="22"/>
          <w:szCs w:val="22"/>
          <w:lang w:eastAsia="pl-PL"/>
        </w:rPr>
        <w:t>Budowa budynku służącego celom kulturalnym i społecznym w Rzeplinie</w:t>
      </w:r>
      <w:r>
        <w:rPr>
          <w:rStyle w:val="FontStyle28"/>
          <w:rFonts w:cs="Calibri" w:ascii="Cambria" w:hAnsi="Cambria"/>
          <w:b/>
          <w:bCs/>
          <w:sz w:val="22"/>
          <w:szCs w:val="22"/>
          <w:lang w:eastAsia="pl-PL"/>
        </w:rPr>
        <w:t>”</w:t>
      </w:r>
    </w:p>
    <w:p>
      <w:pPr>
        <w:pStyle w:val="Normal"/>
        <w:suppressAutoHyphens w:val="false"/>
        <w:spacing w:lineRule="auto" w:line="360"/>
        <w:jc w:val="center"/>
        <w:rPr>
          <w:rFonts w:ascii="Cambria" w:hAnsi="Cambria"/>
          <w:sz w:val="22"/>
          <w:szCs w:val="22"/>
        </w:rPr>
      </w:pPr>
      <w:r>
        <w:rPr>
          <w:rFonts w:ascii="Cambria" w:hAnsi="Cambria"/>
          <w:sz w:val="22"/>
          <w:szCs w:val="22"/>
        </w:rPr>
      </w:r>
    </w:p>
    <w:p>
      <w:pPr>
        <w:pStyle w:val="BodyText"/>
        <w:spacing w:lineRule="auto" w:line="360" w:before="120" w:after="0"/>
        <w:jc w:val="center"/>
        <w:rPr>
          <w:rFonts w:ascii="Cambria" w:hAnsi="Cambria"/>
        </w:rPr>
      </w:pPr>
      <w:r>
        <w:rPr>
          <w:rFonts w:cs="Times New Roman" w:ascii="Cambria" w:hAnsi="Cambria"/>
          <w:b/>
          <w:sz w:val="22"/>
          <w:szCs w:val="22"/>
        </w:rPr>
        <w:t>WYKAZ ZREALIZOWANYCH ROBÓT BUDOWLANYCH</w:t>
      </w:r>
    </w:p>
    <w:p>
      <w:pPr>
        <w:pStyle w:val="Normal"/>
        <w:spacing w:lineRule="auto" w:line="360" w:before="120" w:after="0"/>
        <w:rPr>
          <w:rFonts w:ascii="Cambria" w:hAnsi="Cambria"/>
          <w:sz w:val="22"/>
          <w:szCs w:val="22"/>
        </w:rPr>
      </w:pPr>
      <w:r>
        <w:rPr>
          <w:rFonts w:ascii="Cambria" w:hAnsi="Cambria"/>
          <w:sz w:val="22"/>
          <w:szCs w:val="22"/>
        </w:rPr>
      </w:r>
    </w:p>
    <w:tbl>
      <w:tblPr>
        <w:tblW w:w="9281" w:type="dxa"/>
        <w:jc w:val="left"/>
        <w:tblInd w:w="68" w:type="dxa"/>
        <w:tblLayout w:type="fixed"/>
        <w:tblCellMar>
          <w:top w:w="0" w:type="dxa"/>
          <w:left w:w="108" w:type="dxa"/>
          <w:bottom w:w="0" w:type="dxa"/>
          <w:right w:w="108" w:type="dxa"/>
        </w:tblCellMar>
        <w:tblLook w:firstRow="1" w:noVBand="1" w:lastRow="0" w:firstColumn="1" w:lastColumn="0" w:noHBand="0" w:val="04a0"/>
      </w:tblPr>
      <w:tblGrid>
        <w:gridCol w:w="554"/>
        <w:gridCol w:w="1511"/>
        <w:gridCol w:w="1548"/>
        <w:gridCol w:w="1361"/>
        <w:gridCol w:w="1363"/>
        <w:gridCol w:w="1586"/>
        <w:gridCol w:w="1357"/>
      </w:tblGrid>
      <w:tr>
        <w:trPr/>
        <w:tc>
          <w:tcPr>
            <w:tcW w:w="55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60" w:before="120" w:after="0"/>
              <w:rPr>
                <w:rFonts w:ascii="Cambria" w:hAnsi="Cambria"/>
              </w:rPr>
            </w:pPr>
            <w:r>
              <w:rPr>
                <w:rFonts w:ascii="Cambria" w:hAnsi="Cambria"/>
              </w:rPr>
              <w:t>Lp.</w:t>
            </w:r>
          </w:p>
        </w:tc>
        <w:tc>
          <w:tcPr>
            <w:tcW w:w="1511" w:type="dxa"/>
            <w:tcBorders>
              <w:top w:val="single" w:sz="4" w:space="0" w:color="000000"/>
              <w:left w:val="single" w:sz="4" w:space="0" w:color="000000"/>
              <w:bottom w:val="single" w:sz="4" w:space="0" w:color="000000"/>
              <w:right w:val="single" w:sz="4" w:space="0" w:color="000000"/>
            </w:tcBorders>
          </w:tcPr>
          <w:p>
            <w:pPr>
              <w:pStyle w:val="Nagwek1"/>
              <w:widowControl w:val="false"/>
              <w:spacing w:before="120" w:after="120"/>
              <w:rPr>
                <w:rFonts w:ascii="Cambria" w:hAnsi="Cambria"/>
                <w:sz w:val="20"/>
                <w:szCs w:val="20"/>
              </w:rPr>
            </w:pPr>
            <w:r>
              <w:rPr>
                <w:rFonts w:ascii="Cambria" w:hAnsi="Cambria"/>
                <w:sz w:val="20"/>
                <w:szCs w:val="20"/>
              </w:rPr>
            </w:r>
          </w:p>
          <w:p>
            <w:pPr>
              <w:pStyle w:val="Nagwek1"/>
              <w:widowControl w:val="false"/>
              <w:spacing w:before="120" w:after="120"/>
              <w:rPr/>
            </w:pPr>
            <w:r>
              <w:rPr>
                <w:rFonts w:ascii="Cambria" w:hAnsi="Cambria"/>
                <w:sz w:val="20"/>
                <w:szCs w:val="20"/>
              </w:rPr>
              <w:t>Nazwa zamówienia</w:t>
            </w:r>
          </w:p>
        </w:tc>
        <w:tc>
          <w:tcPr>
            <w:tcW w:w="1548" w:type="dxa"/>
            <w:tcBorders>
              <w:top w:val="single" w:sz="4" w:space="0" w:color="000000"/>
              <w:left w:val="single" w:sz="4" w:space="0" w:color="000000"/>
              <w:bottom w:val="single" w:sz="4" w:space="0" w:color="000000"/>
              <w:right w:val="single" w:sz="4" w:space="0" w:color="000000"/>
            </w:tcBorders>
          </w:tcPr>
          <w:p>
            <w:pPr>
              <w:pStyle w:val="Nagwek1"/>
              <w:widowControl w:val="false"/>
              <w:spacing w:before="120" w:after="120"/>
              <w:rPr>
                <w:rFonts w:ascii="Cambria" w:hAnsi="Cambria"/>
                <w:sz w:val="20"/>
                <w:szCs w:val="20"/>
              </w:rPr>
            </w:pPr>
            <w:r>
              <w:rPr>
                <w:rFonts w:ascii="Cambria" w:hAnsi="Cambria"/>
                <w:sz w:val="20"/>
                <w:szCs w:val="20"/>
              </w:rPr>
            </w:r>
          </w:p>
          <w:p>
            <w:pPr>
              <w:pStyle w:val="Nagwek1"/>
              <w:widowControl w:val="false"/>
              <w:spacing w:before="120" w:after="120"/>
              <w:rPr/>
            </w:pPr>
            <w:r>
              <w:rPr>
                <w:rFonts w:ascii="Cambria" w:hAnsi="Cambria"/>
                <w:sz w:val="20"/>
                <w:szCs w:val="20"/>
              </w:rPr>
              <w:t>Wykonany zakres rzeczowy</w:t>
            </w:r>
          </w:p>
        </w:tc>
        <w:tc>
          <w:tcPr>
            <w:tcW w:w="1361" w:type="dxa"/>
            <w:tcBorders>
              <w:top w:val="single" w:sz="4" w:space="0" w:color="000000"/>
              <w:left w:val="single" w:sz="4" w:space="0" w:color="000000"/>
              <w:bottom w:val="single" w:sz="4" w:space="0" w:color="000000"/>
              <w:right w:val="single" w:sz="4" w:space="0" w:color="000000"/>
            </w:tcBorders>
          </w:tcPr>
          <w:p>
            <w:pPr>
              <w:pStyle w:val="Nagwek1"/>
              <w:widowControl w:val="false"/>
              <w:spacing w:before="120" w:after="120"/>
              <w:rPr>
                <w:rFonts w:ascii="Cambria" w:hAnsi="Cambria"/>
                <w:sz w:val="20"/>
                <w:szCs w:val="20"/>
              </w:rPr>
            </w:pPr>
            <w:r>
              <w:rPr>
                <w:rFonts w:ascii="Cambria" w:hAnsi="Cambria"/>
                <w:sz w:val="20"/>
                <w:szCs w:val="20"/>
              </w:rPr>
            </w:r>
          </w:p>
          <w:p>
            <w:pPr>
              <w:pStyle w:val="Nagwek1"/>
              <w:widowControl w:val="false"/>
              <w:spacing w:before="120" w:after="120"/>
              <w:rPr/>
            </w:pPr>
            <w:r>
              <w:rPr>
                <w:rFonts w:ascii="Cambria" w:hAnsi="Cambria"/>
                <w:sz w:val="20"/>
                <w:szCs w:val="20"/>
              </w:rPr>
              <w:t>Wartość zamówienia (brutto zł)</w:t>
            </w:r>
          </w:p>
        </w:tc>
        <w:tc>
          <w:tcPr>
            <w:tcW w:w="1363" w:type="dxa"/>
            <w:tcBorders>
              <w:top w:val="single" w:sz="4" w:space="0" w:color="000000"/>
              <w:left w:val="single" w:sz="4" w:space="0" w:color="000000"/>
              <w:bottom w:val="single" w:sz="4" w:space="0" w:color="000000"/>
              <w:right w:val="single" w:sz="4" w:space="0" w:color="000000"/>
            </w:tcBorders>
          </w:tcPr>
          <w:p>
            <w:pPr>
              <w:pStyle w:val="Nagwek1"/>
              <w:widowControl w:val="false"/>
              <w:spacing w:before="120" w:after="120"/>
              <w:rPr>
                <w:rFonts w:ascii="Cambria" w:hAnsi="Cambria"/>
                <w:sz w:val="20"/>
                <w:szCs w:val="20"/>
              </w:rPr>
            </w:pPr>
            <w:r>
              <w:rPr>
                <w:rFonts w:ascii="Cambria" w:hAnsi="Cambria"/>
                <w:sz w:val="20"/>
                <w:szCs w:val="20"/>
              </w:rPr>
            </w:r>
          </w:p>
          <w:p>
            <w:pPr>
              <w:pStyle w:val="Nagwek1"/>
              <w:widowControl w:val="false"/>
              <w:spacing w:before="120" w:after="120"/>
              <w:ind w:left="57"/>
              <w:rPr/>
            </w:pPr>
            <w:r>
              <w:rPr>
                <w:rFonts w:ascii="Cambria" w:hAnsi="Cambria"/>
                <w:sz w:val="20"/>
                <w:szCs w:val="20"/>
              </w:rPr>
              <w:t>Data wykonania od …. do ….</w:t>
            </w:r>
          </w:p>
        </w:tc>
        <w:tc>
          <w:tcPr>
            <w:tcW w:w="1586" w:type="dxa"/>
            <w:tcBorders>
              <w:top w:val="single" w:sz="4" w:space="0" w:color="000000"/>
              <w:left w:val="single" w:sz="4" w:space="0" w:color="000000"/>
              <w:bottom w:val="single" w:sz="4" w:space="0" w:color="000000"/>
              <w:right w:val="single" w:sz="4" w:space="0" w:color="000000"/>
            </w:tcBorders>
          </w:tcPr>
          <w:p>
            <w:pPr>
              <w:pStyle w:val="Nagwek1"/>
              <w:widowControl w:val="false"/>
              <w:spacing w:before="120" w:after="120"/>
              <w:rPr>
                <w:rFonts w:ascii="Cambria" w:hAnsi="Cambria"/>
                <w:sz w:val="20"/>
                <w:szCs w:val="20"/>
              </w:rPr>
            </w:pPr>
            <w:r>
              <w:rPr>
                <w:rFonts w:ascii="Cambria" w:hAnsi="Cambria"/>
                <w:sz w:val="20"/>
                <w:szCs w:val="20"/>
              </w:rPr>
            </w:r>
          </w:p>
          <w:p>
            <w:pPr>
              <w:pStyle w:val="Nagwek1"/>
              <w:widowControl w:val="false"/>
              <w:spacing w:before="120" w:after="120"/>
              <w:rPr/>
            </w:pPr>
            <w:r>
              <w:rPr>
                <w:rFonts w:ascii="Cambria" w:hAnsi="Cambria"/>
                <w:sz w:val="20"/>
                <w:szCs w:val="20"/>
              </w:rPr>
              <w:t>Miejsce wykonania</w:t>
            </w:r>
          </w:p>
        </w:tc>
        <w:tc>
          <w:tcPr>
            <w:tcW w:w="1357" w:type="dxa"/>
            <w:tcBorders>
              <w:top w:val="single" w:sz="4" w:space="0" w:color="000000"/>
              <w:left w:val="single" w:sz="4" w:space="0" w:color="000000"/>
              <w:bottom w:val="single" w:sz="4" w:space="0" w:color="000000"/>
              <w:right w:val="single" w:sz="4" w:space="0" w:color="000000"/>
            </w:tcBorders>
          </w:tcPr>
          <w:p>
            <w:pPr>
              <w:pStyle w:val="Nagwek1"/>
              <w:widowControl w:val="false"/>
              <w:spacing w:before="120" w:after="120"/>
              <w:rPr>
                <w:rFonts w:ascii="Cambria" w:hAnsi="Cambria"/>
                <w:sz w:val="20"/>
                <w:szCs w:val="20"/>
              </w:rPr>
            </w:pPr>
            <w:r>
              <w:rPr>
                <w:rFonts w:ascii="Cambria" w:hAnsi="Cambria"/>
                <w:sz w:val="20"/>
                <w:szCs w:val="20"/>
              </w:rPr>
            </w:r>
          </w:p>
          <w:p>
            <w:pPr>
              <w:pStyle w:val="Nagwek1"/>
              <w:widowControl w:val="false"/>
              <w:spacing w:before="120" w:after="120"/>
              <w:rPr>
                <w:rFonts w:ascii="Cambria" w:hAnsi="Cambria"/>
                <w:sz w:val="20"/>
                <w:szCs w:val="20"/>
              </w:rPr>
            </w:pPr>
            <w:r>
              <w:rPr>
                <w:rFonts w:ascii="Cambria" w:hAnsi="Cambria"/>
                <w:sz w:val="20"/>
                <w:szCs w:val="20"/>
              </w:rPr>
              <w:t>Inwestor/Zamawiający</w:t>
            </w:r>
          </w:p>
          <w:p>
            <w:pPr>
              <w:pStyle w:val="Nagwek1"/>
              <w:widowControl w:val="false"/>
              <w:spacing w:before="120" w:after="120"/>
              <w:rPr>
                <w:rFonts w:ascii="Cambria" w:hAnsi="Cambria"/>
                <w:sz w:val="20"/>
                <w:szCs w:val="20"/>
              </w:rPr>
            </w:pPr>
            <w:r>
              <w:rPr>
                <w:rFonts w:ascii="Cambria" w:hAnsi="Cambria"/>
                <w:sz w:val="20"/>
                <w:szCs w:val="20"/>
              </w:rPr>
            </w:r>
          </w:p>
        </w:tc>
      </w:tr>
      <w:tr>
        <w:trPr>
          <w:trHeight w:val="1097" w:hRule="atLeast"/>
        </w:trPr>
        <w:tc>
          <w:tcPr>
            <w:tcW w:w="55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60" w:before="120" w:after="0"/>
              <w:rPr>
                <w:rFonts w:ascii="Cambria" w:hAnsi="Cambria"/>
                <w:sz w:val="22"/>
                <w:szCs w:val="22"/>
              </w:rPr>
            </w:pPr>
            <w:r>
              <w:rPr>
                <w:rFonts w:ascii="Cambria" w:hAnsi="Cambria"/>
                <w:sz w:val="22"/>
                <w:szCs w:val="22"/>
              </w:rPr>
              <w:t>1</w:t>
            </w:r>
          </w:p>
        </w:tc>
        <w:tc>
          <w:tcPr>
            <w:tcW w:w="1511"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60" w:before="120" w:after="0"/>
              <w:rPr>
                <w:rFonts w:ascii="Cambria" w:hAnsi="Cambria"/>
                <w:sz w:val="22"/>
                <w:szCs w:val="22"/>
              </w:rPr>
            </w:pPr>
            <w:r>
              <w:rPr>
                <w:rFonts w:ascii="Cambria" w:hAnsi="Cambria"/>
                <w:sz w:val="22"/>
                <w:szCs w:val="22"/>
              </w:rPr>
            </w:r>
          </w:p>
        </w:tc>
        <w:tc>
          <w:tcPr>
            <w:tcW w:w="154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60" w:before="120" w:after="0"/>
              <w:rPr>
                <w:rFonts w:ascii="Cambria" w:hAnsi="Cambria"/>
                <w:sz w:val="22"/>
                <w:szCs w:val="22"/>
              </w:rPr>
            </w:pPr>
            <w:r>
              <w:rPr>
                <w:rFonts w:ascii="Cambria" w:hAnsi="Cambria"/>
                <w:sz w:val="22"/>
                <w:szCs w:val="22"/>
              </w:rPr>
            </w:r>
          </w:p>
        </w:tc>
        <w:tc>
          <w:tcPr>
            <w:tcW w:w="1361"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60" w:before="120" w:after="0"/>
              <w:rPr>
                <w:rFonts w:ascii="Cambria" w:hAnsi="Cambria"/>
                <w:sz w:val="22"/>
                <w:szCs w:val="22"/>
              </w:rPr>
            </w:pPr>
            <w:r>
              <w:rPr>
                <w:rFonts w:ascii="Cambria" w:hAnsi="Cambria"/>
                <w:sz w:val="22"/>
                <w:szCs w:val="22"/>
              </w:rPr>
            </w:r>
          </w:p>
        </w:tc>
        <w:tc>
          <w:tcPr>
            <w:tcW w:w="136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60" w:before="120" w:after="0"/>
              <w:rPr>
                <w:rFonts w:ascii="Cambria" w:hAnsi="Cambria"/>
                <w:sz w:val="22"/>
                <w:szCs w:val="22"/>
              </w:rPr>
            </w:pPr>
            <w:r>
              <w:rPr>
                <w:rFonts w:ascii="Cambria" w:hAnsi="Cambria"/>
                <w:sz w:val="22"/>
                <w:szCs w:val="22"/>
              </w:rPr>
            </w:r>
          </w:p>
        </w:tc>
        <w:tc>
          <w:tcPr>
            <w:tcW w:w="158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60" w:before="120" w:after="0"/>
              <w:rPr>
                <w:rFonts w:ascii="Cambria" w:hAnsi="Cambria"/>
                <w:sz w:val="22"/>
                <w:szCs w:val="22"/>
              </w:rPr>
            </w:pPr>
            <w:r>
              <w:rPr>
                <w:rFonts w:ascii="Cambria" w:hAnsi="Cambria"/>
                <w:sz w:val="22"/>
                <w:szCs w:val="22"/>
              </w:rPr>
            </w:r>
          </w:p>
        </w:tc>
        <w:tc>
          <w:tcPr>
            <w:tcW w:w="135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60" w:before="120" w:after="0"/>
              <w:rPr>
                <w:rFonts w:ascii="Cambria" w:hAnsi="Cambria"/>
                <w:sz w:val="22"/>
                <w:szCs w:val="22"/>
              </w:rPr>
            </w:pPr>
            <w:r>
              <w:rPr>
                <w:rFonts w:ascii="Cambria" w:hAnsi="Cambria"/>
                <w:sz w:val="22"/>
                <w:szCs w:val="22"/>
              </w:rPr>
            </w:r>
          </w:p>
        </w:tc>
      </w:tr>
      <w:tr>
        <w:trPr>
          <w:trHeight w:val="830" w:hRule="atLeast"/>
        </w:trPr>
        <w:tc>
          <w:tcPr>
            <w:tcW w:w="55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60" w:before="120" w:after="0"/>
              <w:rPr>
                <w:rFonts w:ascii="Cambria" w:hAnsi="Cambria"/>
                <w:sz w:val="22"/>
                <w:szCs w:val="22"/>
              </w:rPr>
            </w:pPr>
            <w:r>
              <w:rPr>
                <w:rFonts w:ascii="Cambria" w:hAnsi="Cambria"/>
                <w:sz w:val="22"/>
                <w:szCs w:val="22"/>
              </w:rPr>
              <w:t>2</w:t>
            </w:r>
          </w:p>
        </w:tc>
        <w:tc>
          <w:tcPr>
            <w:tcW w:w="1511"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60" w:before="120" w:after="0"/>
              <w:rPr>
                <w:rFonts w:ascii="Cambria" w:hAnsi="Cambria"/>
                <w:sz w:val="22"/>
                <w:szCs w:val="22"/>
              </w:rPr>
            </w:pPr>
            <w:r>
              <w:rPr>
                <w:rFonts w:ascii="Cambria" w:hAnsi="Cambria"/>
                <w:sz w:val="22"/>
                <w:szCs w:val="22"/>
              </w:rPr>
            </w:r>
          </w:p>
        </w:tc>
        <w:tc>
          <w:tcPr>
            <w:tcW w:w="154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60" w:before="120" w:after="0"/>
              <w:rPr>
                <w:rFonts w:ascii="Cambria" w:hAnsi="Cambria"/>
                <w:sz w:val="22"/>
                <w:szCs w:val="22"/>
              </w:rPr>
            </w:pPr>
            <w:r>
              <w:rPr>
                <w:rFonts w:ascii="Cambria" w:hAnsi="Cambria"/>
                <w:sz w:val="22"/>
                <w:szCs w:val="22"/>
              </w:rPr>
            </w:r>
          </w:p>
        </w:tc>
        <w:tc>
          <w:tcPr>
            <w:tcW w:w="1361"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60" w:before="120" w:after="0"/>
              <w:rPr>
                <w:rFonts w:ascii="Cambria" w:hAnsi="Cambria"/>
                <w:sz w:val="22"/>
                <w:szCs w:val="22"/>
              </w:rPr>
            </w:pPr>
            <w:r>
              <w:rPr>
                <w:rFonts w:ascii="Cambria" w:hAnsi="Cambria"/>
                <w:sz w:val="22"/>
                <w:szCs w:val="22"/>
              </w:rPr>
            </w:r>
          </w:p>
        </w:tc>
        <w:tc>
          <w:tcPr>
            <w:tcW w:w="136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60" w:before="120" w:after="0"/>
              <w:rPr>
                <w:rFonts w:ascii="Cambria" w:hAnsi="Cambria"/>
                <w:sz w:val="22"/>
                <w:szCs w:val="22"/>
              </w:rPr>
            </w:pPr>
            <w:r>
              <w:rPr>
                <w:rFonts w:ascii="Cambria" w:hAnsi="Cambria"/>
                <w:sz w:val="22"/>
                <w:szCs w:val="22"/>
              </w:rPr>
            </w:r>
          </w:p>
        </w:tc>
        <w:tc>
          <w:tcPr>
            <w:tcW w:w="158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60" w:before="120" w:after="0"/>
              <w:rPr>
                <w:rFonts w:ascii="Cambria" w:hAnsi="Cambria"/>
                <w:sz w:val="22"/>
                <w:szCs w:val="22"/>
              </w:rPr>
            </w:pPr>
            <w:r>
              <w:rPr>
                <w:rFonts w:ascii="Cambria" w:hAnsi="Cambria"/>
                <w:sz w:val="22"/>
                <w:szCs w:val="22"/>
              </w:rPr>
            </w:r>
          </w:p>
        </w:tc>
        <w:tc>
          <w:tcPr>
            <w:tcW w:w="135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60" w:before="120" w:after="0"/>
              <w:rPr>
                <w:rFonts w:ascii="Cambria" w:hAnsi="Cambria"/>
                <w:sz w:val="22"/>
                <w:szCs w:val="22"/>
              </w:rPr>
            </w:pPr>
            <w:r>
              <w:rPr>
                <w:rFonts w:ascii="Cambria" w:hAnsi="Cambria"/>
                <w:sz w:val="22"/>
                <w:szCs w:val="22"/>
              </w:rPr>
            </w:r>
          </w:p>
        </w:tc>
      </w:tr>
      <w:tr>
        <w:trPr>
          <w:trHeight w:val="842" w:hRule="atLeast"/>
        </w:trPr>
        <w:tc>
          <w:tcPr>
            <w:tcW w:w="55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60" w:before="120" w:after="0"/>
              <w:rPr>
                <w:rFonts w:ascii="Cambria" w:hAnsi="Cambria"/>
                <w:sz w:val="22"/>
                <w:szCs w:val="22"/>
              </w:rPr>
            </w:pPr>
            <w:r>
              <w:rPr>
                <w:rFonts w:ascii="Cambria" w:hAnsi="Cambria"/>
                <w:sz w:val="22"/>
                <w:szCs w:val="22"/>
              </w:rPr>
              <w:t>3</w:t>
            </w:r>
          </w:p>
        </w:tc>
        <w:tc>
          <w:tcPr>
            <w:tcW w:w="1511"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60" w:before="120" w:after="0"/>
              <w:rPr>
                <w:rFonts w:ascii="Cambria" w:hAnsi="Cambria"/>
                <w:sz w:val="22"/>
                <w:szCs w:val="22"/>
              </w:rPr>
            </w:pPr>
            <w:r>
              <w:rPr>
                <w:rFonts w:ascii="Cambria" w:hAnsi="Cambria"/>
                <w:sz w:val="22"/>
                <w:szCs w:val="22"/>
              </w:rPr>
            </w:r>
          </w:p>
        </w:tc>
        <w:tc>
          <w:tcPr>
            <w:tcW w:w="154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60" w:before="120" w:after="0"/>
              <w:rPr>
                <w:rFonts w:ascii="Cambria" w:hAnsi="Cambria"/>
                <w:sz w:val="22"/>
                <w:szCs w:val="22"/>
              </w:rPr>
            </w:pPr>
            <w:r>
              <w:rPr>
                <w:rFonts w:ascii="Cambria" w:hAnsi="Cambria"/>
                <w:sz w:val="22"/>
                <w:szCs w:val="22"/>
              </w:rPr>
            </w:r>
          </w:p>
        </w:tc>
        <w:tc>
          <w:tcPr>
            <w:tcW w:w="1361"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60" w:before="120" w:after="0"/>
              <w:rPr>
                <w:rFonts w:ascii="Cambria" w:hAnsi="Cambria"/>
                <w:sz w:val="22"/>
                <w:szCs w:val="22"/>
              </w:rPr>
            </w:pPr>
            <w:r>
              <w:rPr>
                <w:rFonts w:ascii="Cambria" w:hAnsi="Cambria"/>
                <w:sz w:val="22"/>
                <w:szCs w:val="22"/>
              </w:rPr>
            </w:r>
          </w:p>
        </w:tc>
        <w:tc>
          <w:tcPr>
            <w:tcW w:w="136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60" w:before="120" w:after="0"/>
              <w:rPr>
                <w:rFonts w:ascii="Cambria" w:hAnsi="Cambria"/>
                <w:sz w:val="22"/>
                <w:szCs w:val="22"/>
              </w:rPr>
            </w:pPr>
            <w:r>
              <w:rPr>
                <w:rFonts w:ascii="Cambria" w:hAnsi="Cambria"/>
                <w:sz w:val="22"/>
                <w:szCs w:val="22"/>
              </w:rPr>
            </w:r>
          </w:p>
        </w:tc>
        <w:tc>
          <w:tcPr>
            <w:tcW w:w="158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60" w:before="120" w:after="0"/>
              <w:rPr>
                <w:rFonts w:ascii="Cambria" w:hAnsi="Cambria"/>
                <w:sz w:val="22"/>
                <w:szCs w:val="22"/>
              </w:rPr>
            </w:pPr>
            <w:r>
              <w:rPr>
                <w:rFonts w:ascii="Cambria" w:hAnsi="Cambria"/>
                <w:sz w:val="22"/>
                <w:szCs w:val="22"/>
              </w:rPr>
            </w:r>
          </w:p>
        </w:tc>
        <w:tc>
          <w:tcPr>
            <w:tcW w:w="135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60" w:before="120" w:after="0"/>
              <w:rPr>
                <w:rFonts w:ascii="Cambria" w:hAnsi="Cambria"/>
                <w:sz w:val="22"/>
                <w:szCs w:val="22"/>
              </w:rPr>
            </w:pPr>
            <w:r>
              <w:rPr>
                <w:rFonts w:ascii="Cambria" w:hAnsi="Cambria"/>
                <w:sz w:val="22"/>
                <w:szCs w:val="22"/>
              </w:rPr>
            </w:r>
          </w:p>
        </w:tc>
      </w:tr>
      <w:tr>
        <w:trPr>
          <w:trHeight w:val="842" w:hRule="atLeast"/>
        </w:trPr>
        <w:tc>
          <w:tcPr>
            <w:tcW w:w="55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60" w:before="120" w:after="0"/>
              <w:rPr>
                <w:rFonts w:ascii="Cambria" w:hAnsi="Cambria"/>
                <w:sz w:val="22"/>
                <w:szCs w:val="22"/>
              </w:rPr>
            </w:pPr>
            <w:r>
              <w:rPr>
                <w:rFonts w:ascii="Cambria" w:hAnsi="Cambria"/>
                <w:sz w:val="22"/>
                <w:szCs w:val="22"/>
              </w:rPr>
              <w:t>...</w:t>
            </w:r>
          </w:p>
        </w:tc>
        <w:tc>
          <w:tcPr>
            <w:tcW w:w="1511"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60" w:before="120" w:after="0"/>
              <w:rPr>
                <w:rFonts w:ascii="Cambria" w:hAnsi="Cambria"/>
                <w:sz w:val="22"/>
                <w:szCs w:val="22"/>
              </w:rPr>
            </w:pPr>
            <w:r>
              <w:rPr>
                <w:rFonts w:ascii="Cambria" w:hAnsi="Cambria"/>
                <w:sz w:val="22"/>
                <w:szCs w:val="22"/>
              </w:rPr>
            </w:r>
          </w:p>
        </w:tc>
        <w:tc>
          <w:tcPr>
            <w:tcW w:w="154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60" w:before="120" w:after="0"/>
              <w:rPr>
                <w:rFonts w:ascii="Cambria" w:hAnsi="Cambria"/>
                <w:sz w:val="22"/>
                <w:szCs w:val="22"/>
              </w:rPr>
            </w:pPr>
            <w:r>
              <w:rPr>
                <w:rFonts w:ascii="Cambria" w:hAnsi="Cambria"/>
                <w:sz w:val="22"/>
                <w:szCs w:val="22"/>
              </w:rPr>
            </w:r>
          </w:p>
        </w:tc>
        <w:tc>
          <w:tcPr>
            <w:tcW w:w="1361"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60" w:before="120" w:after="0"/>
              <w:rPr>
                <w:rFonts w:ascii="Cambria" w:hAnsi="Cambria"/>
                <w:sz w:val="22"/>
                <w:szCs w:val="22"/>
              </w:rPr>
            </w:pPr>
            <w:r>
              <w:rPr>
                <w:rFonts w:ascii="Cambria" w:hAnsi="Cambria"/>
                <w:sz w:val="22"/>
                <w:szCs w:val="22"/>
              </w:rPr>
            </w:r>
          </w:p>
        </w:tc>
        <w:tc>
          <w:tcPr>
            <w:tcW w:w="136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60" w:before="120" w:after="0"/>
              <w:rPr>
                <w:rFonts w:ascii="Cambria" w:hAnsi="Cambria"/>
                <w:sz w:val="22"/>
                <w:szCs w:val="22"/>
              </w:rPr>
            </w:pPr>
            <w:r>
              <w:rPr>
                <w:rFonts w:ascii="Cambria" w:hAnsi="Cambria"/>
                <w:sz w:val="22"/>
                <w:szCs w:val="22"/>
              </w:rPr>
            </w:r>
          </w:p>
        </w:tc>
        <w:tc>
          <w:tcPr>
            <w:tcW w:w="158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60" w:before="120" w:after="0"/>
              <w:rPr>
                <w:rFonts w:ascii="Cambria" w:hAnsi="Cambria"/>
                <w:sz w:val="22"/>
                <w:szCs w:val="22"/>
              </w:rPr>
            </w:pPr>
            <w:r>
              <w:rPr>
                <w:rFonts w:ascii="Cambria" w:hAnsi="Cambria"/>
                <w:sz w:val="22"/>
                <w:szCs w:val="22"/>
              </w:rPr>
            </w:r>
          </w:p>
        </w:tc>
        <w:tc>
          <w:tcPr>
            <w:tcW w:w="135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60" w:before="120" w:after="0"/>
              <w:rPr>
                <w:rFonts w:ascii="Cambria" w:hAnsi="Cambria"/>
                <w:sz w:val="22"/>
                <w:szCs w:val="22"/>
              </w:rPr>
            </w:pPr>
            <w:r>
              <w:rPr>
                <w:rFonts w:ascii="Cambria" w:hAnsi="Cambria"/>
                <w:sz w:val="22"/>
                <w:szCs w:val="22"/>
              </w:rPr>
            </w:r>
          </w:p>
        </w:tc>
      </w:tr>
    </w:tbl>
    <w:p>
      <w:pPr>
        <w:pStyle w:val="Normal"/>
        <w:spacing w:lineRule="auto" w:line="360" w:before="120" w:after="0"/>
        <w:rPr>
          <w:rFonts w:ascii="Cambria" w:hAnsi="Cambria"/>
          <w:sz w:val="22"/>
          <w:szCs w:val="22"/>
        </w:rPr>
      </w:pPr>
      <w:r>
        <w:rPr>
          <w:rFonts w:ascii="Cambria" w:hAnsi="Cambria"/>
          <w:sz w:val="22"/>
          <w:szCs w:val="22"/>
        </w:rPr>
      </w:r>
    </w:p>
    <w:p>
      <w:pPr>
        <w:pStyle w:val="Normal"/>
        <w:spacing w:lineRule="auto" w:line="276" w:before="120" w:after="120"/>
        <w:ind w:left="720"/>
        <w:contextualSpacing/>
        <w:jc w:val="both"/>
        <w:rPr>
          <w:rFonts w:ascii="Cambria" w:hAnsi="Cambria"/>
          <w:sz w:val="22"/>
          <w:szCs w:val="22"/>
        </w:rPr>
      </w:pPr>
      <w:r>
        <w:rPr>
          <w:rFonts w:ascii="Cambria" w:hAnsi="Cambria"/>
          <w:sz w:val="22"/>
          <w:szCs w:val="22"/>
        </w:rPr>
      </w:r>
    </w:p>
    <w:tbl>
      <w:tblPr>
        <w:tblW w:w="5000" w:type="pct"/>
        <w:jc w:val="left"/>
        <w:tblInd w:w="0" w:type="dxa"/>
        <w:tblLayout w:type="fixed"/>
        <w:tblCellMar>
          <w:top w:w="55" w:type="dxa"/>
          <w:left w:w="55" w:type="dxa"/>
          <w:bottom w:w="55" w:type="dxa"/>
          <w:right w:w="55" w:type="dxa"/>
        </w:tblCellMar>
        <w:tblLook w:firstRow="1" w:noVBand="1" w:lastRow="0" w:firstColumn="1" w:lastColumn="0" w:noHBand="0" w:val="04a0"/>
      </w:tblPr>
      <w:tblGrid>
        <w:gridCol w:w="4535"/>
        <w:gridCol w:w="4536"/>
      </w:tblGrid>
      <w:tr>
        <w:trPr>
          <w:trHeight w:val="852" w:hRule="atLeast"/>
        </w:trPr>
        <w:tc>
          <w:tcPr>
            <w:tcW w:w="4535" w:type="dxa"/>
            <w:tcBorders/>
          </w:tcPr>
          <w:p>
            <w:pPr>
              <w:pStyle w:val="Akapitzlist1"/>
              <w:tabs>
                <w:tab w:val="clear" w:pos="708"/>
                <w:tab w:val="left" w:pos="732" w:leader="none"/>
                <w:tab w:val="left" w:pos="6372" w:leader="none"/>
              </w:tabs>
              <w:spacing w:lineRule="auto" w:line="276" w:before="120" w:after="120"/>
              <w:ind w:hanging="737" w:left="737"/>
              <w:contextualSpacing/>
              <w:jc w:val="center"/>
              <w:rPr>
                <w:rFonts w:ascii="Cambria" w:hAnsi="Cambria"/>
                <w:sz w:val="22"/>
                <w:szCs w:val="22"/>
              </w:rPr>
            </w:pPr>
            <w:r>
              <w:rPr>
                <w:rFonts w:ascii="Cambria" w:hAnsi="Cambria"/>
                <w:sz w:val="22"/>
                <w:szCs w:val="22"/>
              </w:rPr>
            </w:r>
          </w:p>
          <w:p>
            <w:pPr>
              <w:pStyle w:val="Akapitzlist1"/>
              <w:tabs>
                <w:tab w:val="clear" w:pos="708"/>
                <w:tab w:val="left" w:pos="732" w:leader="none"/>
                <w:tab w:val="left" w:pos="6372" w:leader="none"/>
              </w:tabs>
              <w:spacing w:lineRule="auto" w:line="276" w:before="120" w:after="120"/>
              <w:ind w:hanging="737" w:left="737"/>
              <w:contextualSpacing/>
              <w:jc w:val="center"/>
              <w:rPr>
                <w:rFonts w:ascii="Cambria" w:hAnsi="Cambria"/>
                <w:sz w:val="22"/>
                <w:szCs w:val="22"/>
              </w:rPr>
            </w:pPr>
            <w:r>
              <w:rPr>
                <w:rFonts w:ascii="Cambria" w:hAnsi="Cambria"/>
                <w:sz w:val="22"/>
                <w:szCs w:val="22"/>
              </w:rPr>
              <w:t>……………</w:t>
            </w:r>
            <w:r>
              <w:rPr>
                <w:rFonts w:ascii="Cambria" w:hAnsi="Cambria"/>
                <w:sz w:val="22"/>
                <w:szCs w:val="22"/>
              </w:rPr>
              <w:t xml:space="preserve">..….……. </w:t>
            </w:r>
            <w:r>
              <w:rPr>
                <w:rFonts w:ascii="Cambria" w:hAnsi="Cambria"/>
                <w:i/>
                <w:sz w:val="22"/>
                <w:szCs w:val="22"/>
              </w:rPr>
              <w:t xml:space="preserve">, </w:t>
            </w:r>
            <w:r>
              <w:rPr>
                <w:rFonts w:ascii="Cambria" w:hAnsi="Cambria"/>
                <w:sz w:val="22"/>
                <w:szCs w:val="22"/>
              </w:rPr>
              <w:t>dnia …….……. r</w:t>
            </w:r>
          </w:p>
          <w:p>
            <w:pPr>
              <w:pStyle w:val="Akapitzlist1"/>
              <w:tabs>
                <w:tab w:val="clear" w:pos="708"/>
                <w:tab w:val="left" w:pos="732" w:leader="none"/>
                <w:tab w:val="left" w:pos="6372" w:leader="none"/>
              </w:tabs>
              <w:spacing w:lineRule="auto" w:line="276" w:before="120" w:after="120"/>
              <w:ind w:hanging="737" w:left="737"/>
              <w:contextualSpacing/>
              <w:jc w:val="center"/>
              <w:rPr>
                <w:rFonts w:ascii="Cambria" w:hAnsi="Cambria"/>
                <w:sz w:val="22"/>
                <w:szCs w:val="22"/>
              </w:rPr>
            </w:pPr>
            <w:r>
              <w:rPr>
                <w:rFonts w:cs="Arial" w:ascii="Cambria" w:hAnsi="Cambria"/>
                <w:sz w:val="22"/>
                <w:szCs w:val="22"/>
              </w:rPr>
              <w:t>(miejscowość)</w:t>
            </w:r>
          </w:p>
        </w:tc>
        <w:tc>
          <w:tcPr>
            <w:tcW w:w="4536" w:type="dxa"/>
            <w:tcBorders/>
          </w:tcPr>
          <w:p>
            <w:pPr>
              <w:pStyle w:val="Akapitzlist1"/>
              <w:tabs>
                <w:tab w:val="clear" w:pos="708"/>
                <w:tab w:val="left" w:pos="732" w:leader="none"/>
                <w:tab w:val="left" w:pos="6372" w:leader="none"/>
              </w:tabs>
              <w:spacing w:lineRule="auto" w:line="276" w:before="120" w:after="120"/>
              <w:ind w:hanging="737" w:left="737"/>
              <w:contextualSpacing/>
              <w:jc w:val="center"/>
              <w:rPr>
                <w:rFonts w:ascii="Cambria" w:hAnsi="Cambria"/>
                <w:sz w:val="22"/>
                <w:szCs w:val="22"/>
              </w:rPr>
            </w:pPr>
            <w:r>
              <w:rPr>
                <w:rFonts w:ascii="Cambria" w:hAnsi="Cambria"/>
                <w:sz w:val="22"/>
                <w:szCs w:val="22"/>
              </w:rPr>
            </w:r>
          </w:p>
          <w:p>
            <w:pPr>
              <w:pStyle w:val="Akapitzlist1"/>
              <w:tabs>
                <w:tab w:val="clear" w:pos="708"/>
                <w:tab w:val="left" w:pos="732" w:leader="none"/>
                <w:tab w:val="left" w:pos="6372" w:leader="none"/>
              </w:tabs>
              <w:spacing w:lineRule="auto" w:line="276" w:before="120" w:after="120"/>
              <w:ind w:hanging="737" w:left="737"/>
              <w:contextualSpacing/>
              <w:jc w:val="center"/>
              <w:rPr>
                <w:rFonts w:ascii="Cambria" w:hAnsi="Cambria"/>
                <w:sz w:val="22"/>
                <w:szCs w:val="22"/>
              </w:rPr>
            </w:pPr>
            <w:r>
              <w:rPr>
                <w:rFonts w:ascii="Cambria" w:hAnsi="Cambria"/>
                <w:sz w:val="22"/>
                <w:szCs w:val="22"/>
              </w:rPr>
              <w:t>……………………………………</w:t>
            </w:r>
          </w:p>
          <w:p>
            <w:pPr>
              <w:pStyle w:val="Akapitzlist1"/>
              <w:tabs>
                <w:tab w:val="clear" w:pos="708"/>
                <w:tab w:val="left" w:pos="732" w:leader="none"/>
                <w:tab w:val="left" w:pos="6372" w:leader="none"/>
              </w:tabs>
              <w:spacing w:lineRule="auto" w:line="276" w:before="120" w:after="120"/>
              <w:ind w:hanging="737" w:left="737"/>
              <w:contextualSpacing/>
              <w:jc w:val="center"/>
              <w:rPr>
                <w:rFonts w:ascii="Cambria" w:hAnsi="Cambria"/>
                <w:sz w:val="22"/>
                <w:szCs w:val="22"/>
              </w:rPr>
            </w:pPr>
            <w:r>
              <w:rPr>
                <w:rFonts w:cs="Arial" w:ascii="Cambria" w:hAnsi="Cambria"/>
                <w:sz w:val="22"/>
                <w:szCs w:val="22"/>
              </w:rPr>
              <w:t>(podpis)</w:t>
            </w:r>
          </w:p>
        </w:tc>
      </w:tr>
    </w:tbl>
    <w:p>
      <w:pPr>
        <w:pStyle w:val="Normal"/>
        <w:rPr>
          <w:sz w:val="22"/>
          <w:szCs w:val="22"/>
        </w:rPr>
      </w:pPr>
      <w:r>
        <w:rPr>
          <w:sz w:val="22"/>
          <w:szCs w:val="22"/>
        </w:rPr>
      </w:r>
    </w:p>
    <w:p>
      <w:pPr>
        <w:pStyle w:val="Normal"/>
        <w:spacing w:lineRule="auto" w:line="360" w:before="120" w:after="0"/>
        <w:rPr>
          <w:i/>
          <w:i/>
          <w:sz w:val="22"/>
          <w:szCs w:val="22"/>
        </w:rPr>
      </w:pPr>
      <w:r>
        <w:rPr>
          <w:i/>
          <w:sz w:val="22"/>
          <w:szCs w:val="22"/>
        </w:rPr>
      </w:r>
      <w:r>
        <w:br w:type="page"/>
      </w:r>
    </w:p>
    <w:p>
      <w:pPr>
        <w:pStyle w:val="Title"/>
        <w:spacing w:lineRule="auto" w:line="360" w:before="0" w:after="0"/>
        <w:jc w:val="right"/>
        <w:rPr>
          <w:rFonts w:ascii="Cambria" w:hAnsi="Cambria"/>
          <w:i/>
          <w:i/>
          <w:iCs/>
        </w:rPr>
      </w:pPr>
      <w:r>
        <w:rPr>
          <w:rFonts w:ascii="Cambria" w:hAnsi="Cambria"/>
          <w:i/>
          <w:iCs/>
          <w:sz w:val="22"/>
          <w:szCs w:val="22"/>
        </w:rPr>
        <w:t>Załącznik nr 5 SWZ</w:t>
      </w:r>
    </w:p>
    <w:p>
      <w:pPr>
        <w:pStyle w:val="Normal"/>
        <w:suppressAutoHyphens w:val="false"/>
        <w:spacing w:lineRule="auto" w:line="360" w:before="0" w:after="120"/>
        <w:jc w:val="both"/>
        <w:rPr>
          <w:rFonts w:ascii="Cambria" w:hAnsi="Cambria"/>
          <w:sz w:val="22"/>
          <w:szCs w:val="22"/>
        </w:rPr>
      </w:pPr>
      <w:r>
        <w:rPr>
          <w:rFonts w:ascii="Cambria" w:hAnsi="Cambria"/>
          <w:sz w:val="22"/>
          <w:szCs w:val="22"/>
        </w:rPr>
      </w:r>
    </w:p>
    <w:p>
      <w:pPr>
        <w:pStyle w:val="Normal"/>
        <w:suppressAutoHyphens w:val="false"/>
        <w:spacing w:lineRule="auto" w:line="360" w:before="0" w:after="120"/>
        <w:jc w:val="both"/>
        <w:rPr/>
      </w:pPr>
      <w:r>
        <w:rPr>
          <w:rFonts w:ascii="Cambria" w:hAnsi="Cambria"/>
          <w:sz w:val="22"/>
          <w:szCs w:val="22"/>
        </w:rPr>
        <w:t>Dotyczy: postępowania o udzielenie zamówienia publicznego na wykonanie robót budowlanych</w:t>
      </w:r>
      <w:r>
        <w:rPr>
          <w:rStyle w:val="Hipercze1"/>
          <w:rFonts w:ascii="Cambria" w:hAnsi="Cambria"/>
          <w:sz w:val="22"/>
          <w:szCs w:val="22"/>
          <w:lang w:eastAsia="pl-PL"/>
        </w:rPr>
        <w:t xml:space="preserve"> </w:t>
      </w:r>
      <w:r>
        <w:rPr>
          <w:rStyle w:val="FontStyle28"/>
          <w:rFonts w:cs="Times New Roman" w:ascii="Cambria" w:hAnsi="Cambria"/>
          <w:sz w:val="22"/>
          <w:szCs w:val="22"/>
          <w:lang w:eastAsia="pl-PL"/>
        </w:rPr>
        <w:t xml:space="preserve">pod nazwą </w:t>
      </w:r>
      <w:r>
        <w:rPr>
          <w:rStyle w:val="FontStyle28"/>
          <w:rFonts w:cs="Calibri" w:ascii="Cambria" w:hAnsi="Cambria"/>
          <w:b/>
          <w:bCs/>
          <w:sz w:val="22"/>
          <w:szCs w:val="22"/>
          <w:lang w:eastAsia="pl-PL"/>
        </w:rPr>
        <w:t>„Budowa budynku służącego celom kulturalnym i społecznym w Rzeplinie”</w:t>
      </w:r>
    </w:p>
    <w:p>
      <w:pPr>
        <w:pStyle w:val="Normal"/>
        <w:suppressAutoHyphens w:val="false"/>
        <w:spacing w:lineRule="auto" w:line="360" w:before="0" w:after="120"/>
        <w:jc w:val="both"/>
        <w:rPr>
          <w:rStyle w:val="FontStyle28"/>
          <w:rFonts w:ascii="Cambria" w:hAnsi="Cambria" w:cs="Calibri"/>
          <w:b/>
          <w:bCs/>
          <w:sz w:val="22"/>
          <w:szCs w:val="22"/>
          <w:lang w:eastAsia="pl-PL"/>
        </w:rPr>
      </w:pPr>
      <w:r>
        <w:rPr>
          <w:rFonts w:cs="Calibri" w:ascii="Cambria" w:hAnsi="Cambria"/>
          <w:b/>
          <w:bCs/>
          <w:sz w:val="22"/>
          <w:szCs w:val="22"/>
          <w:lang w:eastAsia="pl-PL"/>
        </w:rPr>
      </w:r>
    </w:p>
    <w:tbl>
      <w:tblPr>
        <w:tblpPr w:vertAnchor="text" w:horzAnchor="margin" w:tblpXSpec="center" w:leftFromText="141" w:rightFromText="141" w:tblpY="782"/>
        <w:tblW w:w="10031" w:type="dxa"/>
        <w:jc w:val="center"/>
        <w:tblInd w:w="0" w:type="dxa"/>
        <w:tblLayout w:type="fixed"/>
        <w:tblCellMar>
          <w:top w:w="0" w:type="dxa"/>
          <w:left w:w="108" w:type="dxa"/>
          <w:bottom w:w="0" w:type="dxa"/>
          <w:right w:w="108" w:type="dxa"/>
        </w:tblCellMar>
        <w:tblLook w:firstRow="1" w:noVBand="0" w:lastRow="0" w:firstColumn="1" w:lastColumn="0" w:noHBand="0" w:val="00a0"/>
      </w:tblPr>
      <w:tblGrid>
        <w:gridCol w:w="501"/>
        <w:gridCol w:w="4878"/>
        <w:gridCol w:w="2352"/>
        <w:gridCol w:w="2299"/>
      </w:tblGrid>
      <w:tr>
        <w:trPr/>
        <w:tc>
          <w:tcPr>
            <w:tcW w:w="501" w:type="dxa"/>
            <w:tcBorders>
              <w:top w:val="single" w:sz="4" w:space="0" w:color="000000"/>
              <w:left w:val="single" w:sz="4" w:space="0" w:color="000000"/>
              <w:bottom w:val="single" w:sz="4" w:space="0" w:color="000000"/>
              <w:right w:val="single" w:sz="4" w:space="0" w:color="000000"/>
            </w:tcBorders>
            <w:shd w:color="auto" w:fill="auto" w:val="pct10"/>
            <w:vAlign w:val="center"/>
          </w:tcPr>
          <w:p>
            <w:pPr>
              <w:pStyle w:val="Normal"/>
              <w:widowControl w:val="false"/>
              <w:spacing w:lineRule="auto" w:line="360" w:before="120" w:after="0"/>
              <w:rPr/>
            </w:pPr>
            <w:r>
              <w:rPr>
                <w:b/>
              </w:rPr>
              <w:t>lp.</w:t>
            </w:r>
          </w:p>
        </w:tc>
        <w:tc>
          <w:tcPr>
            <w:tcW w:w="4878" w:type="dxa"/>
            <w:tcBorders>
              <w:top w:val="single" w:sz="4" w:space="0" w:color="000000"/>
              <w:left w:val="single" w:sz="4" w:space="0" w:color="000000"/>
              <w:bottom w:val="single" w:sz="4" w:space="0" w:color="000000"/>
              <w:right w:val="single" w:sz="4" w:space="0" w:color="000000"/>
            </w:tcBorders>
            <w:shd w:color="auto" w:fill="auto" w:val="pct10"/>
            <w:vAlign w:val="center"/>
          </w:tcPr>
          <w:p>
            <w:pPr>
              <w:pStyle w:val="Normal"/>
              <w:widowControl w:val="false"/>
              <w:spacing w:lineRule="auto" w:line="360" w:before="120" w:after="0"/>
              <w:ind w:left="284"/>
              <w:jc w:val="center"/>
              <w:rPr>
                <w:b/>
              </w:rPr>
            </w:pPr>
            <w:r>
              <w:rPr>
                <w:b/>
              </w:rPr>
              <w:t>Imię i nazwisko/</w:t>
            </w:r>
          </w:p>
          <w:p>
            <w:pPr>
              <w:pStyle w:val="Normal"/>
              <w:widowControl w:val="false"/>
              <w:spacing w:lineRule="auto" w:line="360" w:before="120" w:after="0"/>
              <w:jc w:val="center"/>
              <w:rPr/>
            </w:pPr>
            <w:r>
              <w:rPr>
                <w:b/>
              </w:rPr>
              <w:t>Funkcja</w:t>
            </w:r>
          </w:p>
        </w:tc>
        <w:tc>
          <w:tcPr>
            <w:tcW w:w="2352" w:type="dxa"/>
            <w:tcBorders>
              <w:top w:val="single" w:sz="4" w:space="0" w:color="000000"/>
              <w:left w:val="single" w:sz="4" w:space="0" w:color="000000"/>
              <w:bottom w:val="single" w:sz="4" w:space="0" w:color="000000"/>
              <w:right w:val="single" w:sz="4" w:space="0" w:color="000000"/>
            </w:tcBorders>
            <w:shd w:color="auto" w:fill="auto" w:val="pct10"/>
            <w:vAlign w:val="center"/>
          </w:tcPr>
          <w:p>
            <w:pPr>
              <w:pStyle w:val="Normal"/>
              <w:widowControl w:val="false"/>
              <w:jc w:val="center"/>
              <w:rPr>
                <w:b/>
              </w:rPr>
            </w:pPr>
            <w:r>
              <w:rPr>
                <w:b/>
              </w:rPr>
              <w:t>Doświadczenie / uprawnienia</w:t>
            </w:r>
          </w:p>
          <w:p>
            <w:pPr>
              <w:pStyle w:val="Normal"/>
              <w:widowControl w:val="false"/>
              <w:jc w:val="center"/>
              <w:rPr>
                <w:b/>
              </w:rPr>
            </w:pPr>
            <w:r>
              <w:rPr>
                <w:b/>
              </w:rPr>
              <w:t>(informacje niezbędne do oceny spełnienia warunku udziału</w:t>
            </w:r>
          </w:p>
          <w:p>
            <w:pPr>
              <w:pStyle w:val="Normal"/>
              <w:widowControl w:val="false"/>
              <w:jc w:val="center"/>
              <w:rPr/>
            </w:pPr>
            <w:r>
              <w:rPr>
                <w:b/>
              </w:rPr>
              <w:t>w postępowaniu)</w:t>
            </w:r>
          </w:p>
        </w:tc>
        <w:tc>
          <w:tcPr>
            <w:tcW w:w="2299" w:type="dxa"/>
            <w:tcBorders>
              <w:top w:val="single" w:sz="4" w:space="0" w:color="000000"/>
              <w:left w:val="single" w:sz="4" w:space="0" w:color="000000"/>
              <w:bottom w:val="single" w:sz="4" w:space="0" w:color="000000"/>
              <w:right w:val="single" w:sz="4" w:space="0" w:color="000000"/>
            </w:tcBorders>
            <w:shd w:color="auto" w:fill="auto" w:val="pct10"/>
            <w:vAlign w:val="center"/>
          </w:tcPr>
          <w:p>
            <w:pPr>
              <w:pStyle w:val="Normal"/>
              <w:widowControl w:val="false"/>
              <w:tabs>
                <w:tab w:val="clear" w:pos="708"/>
                <w:tab w:val="left" w:pos="3152" w:leader="none"/>
              </w:tabs>
              <w:ind w:right="176"/>
              <w:jc w:val="center"/>
              <w:rPr>
                <w:b/>
              </w:rPr>
            </w:pPr>
            <w:r>
              <w:rPr>
                <w:b/>
              </w:rPr>
              <w:t>Informacja</w:t>
            </w:r>
          </w:p>
          <w:p>
            <w:pPr>
              <w:pStyle w:val="Normal"/>
              <w:widowControl w:val="false"/>
              <w:tabs>
                <w:tab w:val="clear" w:pos="708"/>
                <w:tab w:val="left" w:pos="3152" w:leader="none"/>
              </w:tabs>
              <w:ind w:right="176"/>
              <w:jc w:val="center"/>
              <w:rPr/>
            </w:pPr>
            <w:r>
              <w:rPr>
                <w:b/>
              </w:rPr>
              <w:t xml:space="preserve">o podstawie do dysponowania wskazaną osobą </w:t>
            </w:r>
            <w:r>
              <w:rPr/>
              <w:t xml:space="preserve">(należy wpisać </w:t>
            </w:r>
            <w:r>
              <w:rPr>
                <w:i/>
              </w:rPr>
              <w:t>dysponowanie pośrednie albo dysponowanie bezpośrednie</w:t>
            </w:r>
            <w:r>
              <w:rPr/>
              <w:t>)</w:t>
            </w:r>
          </w:p>
        </w:tc>
      </w:tr>
      <w:tr>
        <w:trPr>
          <w:trHeight w:val="1454" w:hRule="atLeast"/>
        </w:trPr>
        <w:tc>
          <w:tcPr>
            <w:tcW w:w="501" w:type="dxa"/>
            <w:tcBorders>
              <w:top w:val="single" w:sz="4" w:space="0" w:color="000000"/>
              <w:left w:val="single" w:sz="4" w:space="0" w:color="000000"/>
              <w:bottom w:val="single" w:sz="4" w:space="0" w:color="000000"/>
              <w:right w:val="single" w:sz="4" w:space="0" w:color="000000"/>
            </w:tcBorders>
          </w:tcPr>
          <w:p>
            <w:pPr>
              <w:pStyle w:val="ListParagraph"/>
              <w:widowControl w:val="false"/>
              <w:numPr>
                <w:ilvl w:val="0"/>
                <w:numId w:val="34"/>
              </w:numPr>
              <w:spacing w:lineRule="auto" w:line="360" w:before="120" w:after="0"/>
              <w:contextualSpacing/>
              <w:jc w:val="both"/>
              <w:rPr/>
            </w:pPr>
            <w:r>
              <w:rPr/>
            </w:r>
          </w:p>
        </w:tc>
        <w:tc>
          <w:tcPr>
            <w:tcW w:w="487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60" w:before="120" w:after="0"/>
              <w:jc w:val="center"/>
              <w:rPr>
                <w:bCs/>
                <w:sz w:val="22"/>
                <w:szCs w:val="22"/>
              </w:rPr>
            </w:pPr>
            <w:r>
              <w:rPr>
                <w:bCs/>
                <w:sz w:val="22"/>
                <w:szCs w:val="22"/>
              </w:rPr>
              <w:t>kierownik budowy</w:t>
            </w:r>
          </w:p>
          <w:p>
            <w:pPr>
              <w:pStyle w:val="Normal"/>
              <w:widowControl w:val="false"/>
              <w:spacing w:lineRule="auto" w:line="360" w:before="120" w:after="0"/>
              <w:jc w:val="center"/>
              <w:rPr>
                <w:sz w:val="22"/>
                <w:szCs w:val="22"/>
              </w:rPr>
            </w:pPr>
            <w:r>
              <w:rPr>
                <w:sz w:val="22"/>
                <w:szCs w:val="22"/>
              </w:rPr>
              <w:t>……………………</w:t>
            </w:r>
            <w:r>
              <w:rPr>
                <w:sz w:val="22"/>
                <w:szCs w:val="22"/>
              </w:rPr>
              <w:t>...………………..…………</w:t>
            </w:r>
          </w:p>
          <w:p>
            <w:pPr>
              <w:pStyle w:val="Normal"/>
              <w:widowControl w:val="false"/>
              <w:spacing w:lineRule="auto" w:line="360" w:before="120" w:after="0"/>
              <w:jc w:val="center"/>
              <w:rPr>
                <w:i/>
                <w:i/>
              </w:rPr>
            </w:pPr>
            <w:r>
              <w:rPr>
                <w:i/>
              </w:rPr>
              <w:t>(Imię i nazwisko)</w:t>
            </w:r>
          </w:p>
        </w:tc>
        <w:tc>
          <w:tcPr>
            <w:tcW w:w="2352" w:type="dxa"/>
            <w:tcBorders>
              <w:top w:val="single" w:sz="4" w:space="0" w:color="000000"/>
              <w:left w:val="single" w:sz="4" w:space="0" w:color="000000"/>
              <w:bottom w:val="single" w:sz="4" w:space="0" w:color="000000"/>
              <w:right w:val="single" w:sz="4" w:space="0" w:color="000000"/>
            </w:tcBorders>
          </w:tcPr>
          <w:p>
            <w:pPr>
              <w:pStyle w:val="ListParagraph"/>
              <w:widowControl w:val="false"/>
              <w:spacing w:lineRule="auto" w:line="360" w:before="120" w:after="0"/>
              <w:ind w:left="1440"/>
              <w:contextualSpacing/>
              <w:jc w:val="both"/>
              <w:rPr/>
            </w:pPr>
            <w:r>
              <w:rPr/>
            </w:r>
          </w:p>
        </w:tc>
        <w:tc>
          <w:tcPr>
            <w:tcW w:w="229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60" w:before="120" w:after="0"/>
              <w:rPr>
                <w:sz w:val="22"/>
                <w:szCs w:val="22"/>
              </w:rPr>
            </w:pPr>
            <w:r>
              <w:rPr>
                <w:sz w:val="22"/>
                <w:szCs w:val="22"/>
              </w:rPr>
            </w:r>
          </w:p>
        </w:tc>
      </w:tr>
    </w:tbl>
    <w:p>
      <w:pPr>
        <w:pStyle w:val="Normal"/>
        <w:spacing w:lineRule="auto" w:line="360" w:before="120" w:after="0"/>
        <w:jc w:val="center"/>
        <w:rPr>
          <w:rFonts w:ascii="Cambria" w:hAnsi="Cambria"/>
          <w:b/>
          <w:bCs/>
        </w:rPr>
      </w:pPr>
      <w:r/>
      <w:r>
        <w:rPr>
          <w:rFonts w:ascii="Cambria" w:hAnsi="Cambria"/>
          <w:b/>
          <w:bCs/>
        </w:rPr>
        <w:t>WYKAZ OSÓB</w:t>
      </w:r>
    </w:p>
    <w:p>
      <w:pPr>
        <w:pStyle w:val="Normal"/>
        <w:spacing w:lineRule="auto" w:line="360" w:before="120" w:after="0"/>
        <w:jc w:val="center"/>
        <w:rPr>
          <w:rFonts w:ascii="Cambria" w:hAnsi="Cambria"/>
          <w:i/>
          <w:i/>
        </w:rPr>
      </w:pPr>
      <w:r>
        <w:rPr>
          <w:rFonts w:ascii="Cambria" w:hAnsi="Cambria"/>
          <w:i/>
        </w:rPr>
      </w:r>
    </w:p>
    <w:p>
      <w:pPr>
        <w:pStyle w:val="Normal"/>
        <w:suppressAutoHyphens w:val="false"/>
        <w:spacing w:lineRule="auto" w:line="360" w:before="0" w:after="120"/>
        <w:jc w:val="both"/>
        <w:rPr>
          <w:rFonts w:ascii="Cambria" w:hAnsi="Cambria"/>
          <w:sz w:val="22"/>
          <w:szCs w:val="22"/>
        </w:rPr>
      </w:pPr>
      <w:r>
        <w:rPr>
          <w:rFonts w:ascii="Cambria" w:hAnsi="Cambria"/>
          <w:sz w:val="22"/>
          <w:szCs w:val="22"/>
        </w:rPr>
      </w:r>
    </w:p>
    <w:p>
      <w:pPr>
        <w:pStyle w:val="Normal"/>
        <w:spacing w:lineRule="auto" w:line="276" w:before="120" w:after="120"/>
        <w:ind w:left="720"/>
        <w:contextualSpacing/>
        <w:jc w:val="both"/>
        <w:rPr>
          <w:rFonts w:ascii="Cambria" w:hAnsi="Cambria"/>
          <w:sz w:val="22"/>
          <w:szCs w:val="22"/>
        </w:rPr>
      </w:pPr>
      <w:r>
        <w:rPr>
          <w:rFonts w:ascii="Cambria" w:hAnsi="Cambria"/>
          <w:sz w:val="22"/>
          <w:szCs w:val="22"/>
        </w:rPr>
      </w:r>
    </w:p>
    <w:p>
      <w:pPr>
        <w:pStyle w:val="Normal"/>
        <w:spacing w:lineRule="auto" w:line="360" w:before="120" w:after="0"/>
        <w:jc w:val="both"/>
        <w:rPr>
          <w:rFonts w:ascii="Cambria" w:hAnsi="Cambria"/>
        </w:rPr>
      </w:pPr>
      <w:r>
        <w:rPr>
          <w:rFonts w:ascii="Cambria" w:hAnsi="Cambria"/>
          <w:sz w:val="22"/>
          <w:szCs w:val="22"/>
          <w:u w:val="single"/>
        </w:rPr>
        <w:t>POUCZENIE:</w:t>
      </w:r>
    </w:p>
    <w:p>
      <w:pPr>
        <w:pStyle w:val="Normal"/>
        <w:spacing w:lineRule="auto" w:line="360" w:before="120" w:after="0"/>
        <w:jc w:val="both"/>
        <w:rPr>
          <w:rFonts w:ascii="Cambria" w:hAnsi="Cambria"/>
          <w:sz w:val="22"/>
          <w:szCs w:val="22"/>
        </w:rPr>
      </w:pPr>
      <w:r>
        <w:rPr>
          <w:rFonts w:ascii="Cambria" w:hAnsi="Cambria"/>
          <w:sz w:val="22"/>
          <w:szCs w:val="22"/>
        </w:rPr>
        <w:t>Art. 297 § 1 kodeks karny: Kto, w celu uzyskania dla siebie lub kogo innego (...) przedkłada podrobiony, przerobiony, poświadczający nieprawdę albo nierzetelny dokument albo nierzetelne, pisemne oświadczenie dotyczące okoliczności o istotnym znaczeniu dla uzyskania (...) zamówienia, podlega karze pozbawienia wolności od 3 miesięcy do lat 5.</w:t>
      </w:r>
    </w:p>
    <w:p>
      <w:pPr>
        <w:pStyle w:val="Normal"/>
        <w:spacing w:lineRule="auto" w:line="360" w:before="120" w:after="0"/>
        <w:jc w:val="both"/>
        <w:rPr>
          <w:rFonts w:ascii="Cambria" w:hAnsi="Cambria"/>
          <w:sz w:val="22"/>
          <w:szCs w:val="22"/>
        </w:rPr>
      </w:pPr>
      <w:r>
        <w:rPr>
          <w:rFonts w:ascii="Cambria" w:hAnsi="Cambria"/>
          <w:sz w:val="22"/>
          <w:szCs w:val="22"/>
        </w:rPr>
      </w:r>
    </w:p>
    <w:p>
      <w:pPr>
        <w:pStyle w:val="Normal"/>
        <w:spacing w:lineRule="auto" w:line="276" w:before="120" w:after="120"/>
        <w:ind w:left="720"/>
        <w:contextualSpacing/>
        <w:jc w:val="both"/>
        <w:rPr>
          <w:rFonts w:ascii="Cambria" w:hAnsi="Cambria"/>
          <w:sz w:val="22"/>
          <w:szCs w:val="22"/>
        </w:rPr>
      </w:pPr>
      <w:r>
        <w:rPr>
          <w:rFonts w:ascii="Cambria" w:hAnsi="Cambria"/>
          <w:sz w:val="22"/>
          <w:szCs w:val="22"/>
        </w:rPr>
      </w:r>
    </w:p>
    <w:tbl>
      <w:tblPr>
        <w:tblW w:w="5000" w:type="pct"/>
        <w:jc w:val="left"/>
        <w:tblInd w:w="0" w:type="dxa"/>
        <w:tblLayout w:type="fixed"/>
        <w:tblCellMar>
          <w:top w:w="55" w:type="dxa"/>
          <w:left w:w="55" w:type="dxa"/>
          <w:bottom w:w="55" w:type="dxa"/>
          <w:right w:w="55" w:type="dxa"/>
        </w:tblCellMar>
        <w:tblLook w:firstRow="1" w:noVBand="1" w:lastRow="0" w:firstColumn="1" w:lastColumn="0" w:noHBand="0" w:val="04a0"/>
      </w:tblPr>
      <w:tblGrid>
        <w:gridCol w:w="4535"/>
        <w:gridCol w:w="4536"/>
      </w:tblGrid>
      <w:tr>
        <w:trPr>
          <w:trHeight w:val="852" w:hRule="atLeast"/>
        </w:trPr>
        <w:tc>
          <w:tcPr>
            <w:tcW w:w="4535" w:type="dxa"/>
            <w:tcBorders/>
          </w:tcPr>
          <w:p>
            <w:pPr>
              <w:pStyle w:val="Akapitzlist1"/>
              <w:tabs>
                <w:tab w:val="clear" w:pos="708"/>
                <w:tab w:val="left" w:pos="732" w:leader="none"/>
                <w:tab w:val="left" w:pos="6372" w:leader="none"/>
              </w:tabs>
              <w:spacing w:lineRule="auto" w:line="276" w:before="120" w:after="120"/>
              <w:ind w:hanging="737" w:left="737"/>
              <w:contextualSpacing/>
              <w:jc w:val="center"/>
              <w:rPr>
                <w:rFonts w:ascii="Cambria" w:hAnsi="Cambria"/>
                <w:sz w:val="22"/>
                <w:szCs w:val="22"/>
              </w:rPr>
            </w:pPr>
            <w:r>
              <w:rPr>
                <w:rFonts w:ascii="Cambria" w:hAnsi="Cambria"/>
                <w:sz w:val="22"/>
                <w:szCs w:val="22"/>
              </w:rPr>
            </w:r>
          </w:p>
          <w:p>
            <w:pPr>
              <w:pStyle w:val="Akapitzlist1"/>
              <w:tabs>
                <w:tab w:val="clear" w:pos="708"/>
                <w:tab w:val="left" w:pos="732" w:leader="none"/>
                <w:tab w:val="left" w:pos="6372" w:leader="none"/>
              </w:tabs>
              <w:spacing w:lineRule="auto" w:line="276" w:before="120" w:after="120"/>
              <w:ind w:hanging="737" w:left="737"/>
              <w:contextualSpacing/>
              <w:jc w:val="center"/>
              <w:rPr>
                <w:rFonts w:ascii="Cambria" w:hAnsi="Cambria"/>
                <w:sz w:val="22"/>
                <w:szCs w:val="22"/>
              </w:rPr>
            </w:pPr>
            <w:r>
              <w:rPr>
                <w:rFonts w:ascii="Cambria" w:hAnsi="Cambria"/>
                <w:sz w:val="22"/>
                <w:szCs w:val="22"/>
              </w:rPr>
              <w:t>……………</w:t>
            </w:r>
            <w:r>
              <w:rPr>
                <w:rFonts w:ascii="Cambria" w:hAnsi="Cambria"/>
                <w:sz w:val="22"/>
                <w:szCs w:val="22"/>
              </w:rPr>
              <w:t xml:space="preserve">..….……. </w:t>
            </w:r>
            <w:r>
              <w:rPr>
                <w:rFonts w:ascii="Cambria" w:hAnsi="Cambria"/>
                <w:i/>
                <w:sz w:val="22"/>
                <w:szCs w:val="22"/>
              </w:rPr>
              <w:t xml:space="preserve">, </w:t>
            </w:r>
            <w:r>
              <w:rPr>
                <w:rFonts w:ascii="Cambria" w:hAnsi="Cambria"/>
                <w:sz w:val="22"/>
                <w:szCs w:val="22"/>
              </w:rPr>
              <w:t>dnia …….……. r</w:t>
            </w:r>
          </w:p>
          <w:p>
            <w:pPr>
              <w:pStyle w:val="Akapitzlist1"/>
              <w:tabs>
                <w:tab w:val="clear" w:pos="708"/>
                <w:tab w:val="left" w:pos="732" w:leader="none"/>
                <w:tab w:val="left" w:pos="6372" w:leader="none"/>
              </w:tabs>
              <w:spacing w:lineRule="auto" w:line="276" w:before="120" w:after="120"/>
              <w:ind w:hanging="737" w:left="737"/>
              <w:contextualSpacing/>
              <w:jc w:val="center"/>
              <w:rPr>
                <w:rFonts w:ascii="Cambria" w:hAnsi="Cambria"/>
                <w:sz w:val="22"/>
                <w:szCs w:val="22"/>
              </w:rPr>
            </w:pPr>
            <w:r>
              <w:rPr>
                <w:rFonts w:cs="Arial" w:ascii="Cambria" w:hAnsi="Cambria"/>
                <w:sz w:val="22"/>
                <w:szCs w:val="22"/>
              </w:rPr>
              <w:t>(miejscowość)</w:t>
            </w:r>
          </w:p>
        </w:tc>
        <w:tc>
          <w:tcPr>
            <w:tcW w:w="4536" w:type="dxa"/>
            <w:tcBorders/>
          </w:tcPr>
          <w:p>
            <w:pPr>
              <w:pStyle w:val="Akapitzlist1"/>
              <w:tabs>
                <w:tab w:val="clear" w:pos="708"/>
                <w:tab w:val="left" w:pos="732" w:leader="none"/>
                <w:tab w:val="left" w:pos="6372" w:leader="none"/>
              </w:tabs>
              <w:spacing w:lineRule="auto" w:line="276" w:before="120" w:after="120"/>
              <w:ind w:hanging="737" w:left="737"/>
              <w:contextualSpacing/>
              <w:jc w:val="center"/>
              <w:rPr>
                <w:rFonts w:ascii="Cambria" w:hAnsi="Cambria"/>
                <w:sz w:val="22"/>
                <w:szCs w:val="22"/>
              </w:rPr>
            </w:pPr>
            <w:r>
              <w:rPr>
                <w:rFonts w:ascii="Cambria" w:hAnsi="Cambria"/>
                <w:sz w:val="22"/>
                <w:szCs w:val="22"/>
              </w:rPr>
            </w:r>
          </w:p>
          <w:p>
            <w:pPr>
              <w:pStyle w:val="Akapitzlist1"/>
              <w:tabs>
                <w:tab w:val="clear" w:pos="708"/>
                <w:tab w:val="left" w:pos="732" w:leader="none"/>
                <w:tab w:val="left" w:pos="6372" w:leader="none"/>
              </w:tabs>
              <w:spacing w:lineRule="auto" w:line="276" w:before="120" w:after="120"/>
              <w:ind w:hanging="737" w:left="737"/>
              <w:contextualSpacing/>
              <w:jc w:val="center"/>
              <w:rPr>
                <w:rFonts w:ascii="Cambria" w:hAnsi="Cambria"/>
                <w:sz w:val="22"/>
                <w:szCs w:val="22"/>
              </w:rPr>
            </w:pPr>
            <w:r>
              <w:rPr>
                <w:rFonts w:ascii="Cambria" w:hAnsi="Cambria"/>
                <w:sz w:val="22"/>
                <w:szCs w:val="22"/>
              </w:rPr>
              <w:t>……………………………………</w:t>
            </w:r>
          </w:p>
          <w:p>
            <w:pPr>
              <w:pStyle w:val="Akapitzlist1"/>
              <w:tabs>
                <w:tab w:val="clear" w:pos="708"/>
                <w:tab w:val="left" w:pos="732" w:leader="none"/>
                <w:tab w:val="left" w:pos="6372" w:leader="none"/>
              </w:tabs>
              <w:spacing w:lineRule="auto" w:line="276" w:before="120" w:after="120"/>
              <w:ind w:hanging="737" w:left="737"/>
              <w:contextualSpacing/>
              <w:jc w:val="center"/>
              <w:rPr>
                <w:rFonts w:ascii="Cambria" w:hAnsi="Cambria"/>
                <w:sz w:val="22"/>
                <w:szCs w:val="22"/>
              </w:rPr>
            </w:pPr>
            <w:r>
              <w:rPr>
                <w:rFonts w:cs="Arial" w:ascii="Cambria" w:hAnsi="Cambria"/>
                <w:sz w:val="22"/>
                <w:szCs w:val="22"/>
              </w:rPr>
              <w:t>(podpis)</w:t>
            </w:r>
          </w:p>
        </w:tc>
      </w:tr>
    </w:tbl>
    <w:p>
      <w:pPr>
        <w:pStyle w:val="Normal"/>
        <w:rPr>
          <w:sz w:val="22"/>
          <w:szCs w:val="22"/>
        </w:rPr>
      </w:pPr>
      <w:r>
        <w:rPr>
          <w:sz w:val="22"/>
          <w:szCs w:val="22"/>
        </w:rPr>
      </w:r>
    </w:p>
    <w:p>
      <w:pPr>
        <w:pStyle w:val="Normal"/>
        <w:spacing w:lineRule="auto" w:line="360" w:before="120" w:after="0"/>
        <w:rPr>
          <w:i/>
          <w:i/>
          <w:sz w:val="22"/>
          <w:szCs w:val="22"/>
        </w:rPr>
      </w:pPr>
      <w:r>
        <w:rPr>
          <w:i/>
          <w:sz w:val="22"/>
          <w:szCs w:val="22"/>
        </w:rPr>
      </w:r>
    </w:p>
    <w:sectPr>
      <w:headerReference w:type="even" r:id="rId9"/>
      <w:headerReference w:type="default" r:id="rId10"/>
      <w:headerReference w:type="first" r:id="rId11"/>
      <w:footerReference w:type="even" r:id="rId12"/>
      <w:footerReference w:type="default" r:id="rId13"/>
      <w:footerReference w:type="first" r:id="rId14"/>
      <w:footnotePr>
        <w:numFmt w:val="decimal"/>
      </w:footnotePr>
      <w:type w:val="nextPage"/>
      <w:pgSz w:w="11906" w:h="16838"/>
      <w:pgMar w:left="1417" w:right="1417" w:gutter="0" w:header="0" w:top="851" w:footer="708" w:bottom="1417"/>
      <w:pgNumType w:fmt="decimal"/>
      <w:formProt w:val="false"/>
      <w:textDirection w:val="lrTb"/>
      <w:docGrid w:type="default" w:linePitch="360" w:charSpace="4096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ee"/>
    <w:family w:val="roman"/>
    <w:pitch w:val="variable"/>
  </w:font>
  <w:font w:name="Times New Roman">
    <w:charset w:val="ee"/>
    <w:family w:val="roman"/>
    <w:pitch w:val="variable"/>
  </w:font>
  <w:font w:name="Calibri Light">
    <w:charset w:val="ee"/>
    <w:family w:val="roman"/>
    <w:pitch w:val="variable"/>
  </w:font>
  <w:font w:name="Tahoma">
    <w:charset w:val="ee"/>
    <w:family w:val="swiss"/>
    <w:pitch w:val="variable"/>
  </w:font>
  <w:font w:name="Symbol">
    <w:charset w:val="ee"/>
    <w:family w:val="roman"/>
    <w:pitch w:val="variable"/>
  </w:font>
  <w:font w:name="Courier New">
    <w:charset w:val="ee"/>
    <w:family w:val="roman"/>
    <w:pitch w:val="variable"/>
  </w:font>
  <w:font w:name="Wingdings">
    <w:charset w:val="ee"/>
    <w:family w:val="roman"/>
    <w:pitch w:val="variable"/>
  </w:font>
  <w:font w:name="Arial">
    <w:charset w:val="ee"/>
    <w:family w:val="swiss"/>
    <w:pitch w:val="variable"/>
  </w:font>
  <w:font w:name="Verdana">
    <w:charset w:val="ee"/>
    <w:family w:val="swiss"/>
    <w:pitch w:val="variable"/>
  </w:font>
  <w:font w:name="Cambria">
    <w:charset w:val="ee"/>
    <w:family w:val="roman"/>
    <w:pitch w:val="variable"/>
  </w:font>
  <w:font w:name="OpenSymbol">
    <w:altName w:val="Arial Unicode MS"/>
    <w:charset w:val="ee"/>
    <w:family w:val="roman"/>
    <w:pitch w:val="variable"/>
  </w:font>
  <w:font w:name="Liberation Sans">
    <w:altName w:val="Arial"/>
    <w:charset w:val="ee"/>
    <w:family w:val="swiss"/>
    <w:pitch w:val="variable"/>
  </w:font>
  <w:font w:name="DejaVu Sans">
    <w:charset w:val="ee"/>
    <w:family w:val="swiss"/>
    <w:pitch w:val="variable"/>
  </w:font>
  <w:font w:name="Arial Unicode MS">
    <w:charset w:val="ee"/>
    <w:family w:val="swiss"/>
    <w:pitch w:val="variable"/>
  </w:font>
  <w:font w:name="Calibri">
    <w:charset w:val="ee"/>
    <w:family w:val="swiss"/>
    <w:pitch w:val="variable"/>
  </w:font>
  <w:font w:name="Calibri">
    <w:charset w:val="01"/>
    <w:family w:val="swiss"/>
    <w:pitch w:val="variable"/>
  </w:font>
  <w:font w:name="Wingdings">
    <w:charset w:val="02"/>
    <w:family w:val="auto"/>
    <w:pitch w:val="variable"/>
  </w:font>
  <w:font w:name="Courier New">
    <w:charset w:val="01"/>
    <w:family w:val="modern"/>
    <w:pitch w:val="fixed"/>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Stopka1"/>
      <w:jc w:val="center"/>
      <w:rPr/>
    </w:pPr>
    <w:r>
      <w:rPr/>
      <w:fldChar w:fldCharType="begin"/>
    </w:r>
    <w:r>
      <w:rPr/>
      <w:instrText xml:space="preserve"> PAGE </w:instrText>
    </w:r>
    <w:r>
      <w:rPr/>
      <w:fldChar w:fldCharType="separate"/>
    </w:r>
    <w:r>
      <w:rPr/>
      <w:t>38</w:t>
    </w:r>
    <w:r>
      <w:rPr/>
      <w:fldChar w:fldCharType="end"/>
    </w:r>
  </w:p>
  <w:p>
    <w:pPr>
      <w:pStyle w:val="Stopka1"/>
      <w:rPr/>
    </w:pPr>
    <w:r>
      <w:rPr/>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Stopka1"/>
      <w:jc w:val="center"/>
      <w:rPr/>
    </w:pPr>
    <w:r>
      <w:rPr/>
      <w:fldChar w:fldCharType="begin"/>
    </w:r>
    <w:r>
      <w:rPr/>
      <w:instrText xml:space="preserve"> PAGE </w:instrText>
    </w:r>
    <w:r>
      <w:rPr/>
      <w:fldChar w:fldCharType="separate"/>
    </w:r>
    <w:r>
      <w:rPr/>
      <w:t>38</w:t>
    </w:r>
    <w:r>
      <w:rPr/>
      <w:fldChar w:fldCharType="end"/>
    </w:r>
  </w:p>
  <w:p>
    <w:pPr>
      <w:pStyle w:val="Stopka1"/>
      <w:rPr/>
    </w:pPr>
    <w:r>
      <w:rPr/>
    </w:r>
  </w:p>
</w:ftr>
</file>

<file path=word/footnotes.xml><?xml version="1.0" encoding="utf-8"?>
<w:footnotes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footnote w:id="0" w:type="separator">
    <w:p>
      <w:r/>
    </w:p>
  </w:footnote>
  <w:footnote w:id="1" w:type="continuationSeparator">
    <w:p>
      <w:r/>
    </w:p>
  </w:footnote>
  <w:footnote w:id="2">
    <w:p>
      <w:pPr>
        <w:pStyle w:val="FootnoteText"/>
        <w:rPr>
          <w:rFonts w:ascii="Arial" w:hAnsi="Arial"/>
        </w:rPr>
      </w:pPr>
      <w:r>
        <w:rPr>
          <w:rStyle w:val="Znakiprzypiswdolnych"/>
        </w:rPr>
        <w:footnoteRef/>
      </w:r>
      <w:r>
        <w:rPr>
          <w:rFonts w:ascii="Arial" w:hAnsi="Arial"/>
        </w:rPr>
        <w:tab/>
        <w:t>Jeżeli wynika to z decyzji administracyjnych.</w:t>
      </w:r>
    </w:p>
  </w:footnote>
  <w:footnote w:id="3">
    <w:p>
      <w:pPr>
        <w:pStyle w:val="FootnoteText"/>
        <w:rPr>
          <w:rFonts w:ascii="Arial" w:hAnsi="Arial"/>
        </w:rPr>
      </w:pPr>
      <w:r>
        <w:rPr>
          <w:rStyle w:val="Znakiprzypiswdolnych"/>
        </w:rPr>
        <w:footnoteRef/>
      </w:r>
      <w:r>
        <w:rPr>
          <w:rFonts w:ascii="Arial" w:hAnsi="Arial"/>
        </w:rPr>
        <w:tab/>
        <w:t>Jeżeli wynika to z decyzji administracyjnych.</w:t>
      </w:r>
    </w:p>
  </w:footnote>
  <w:footnote w:id="4">
    <w:p>
      <w:pPr>
        <w:pStyle w:val="Tekstprzypisudolnego1"/>
        <w:rPr>
          <w:lang w:val="pl-PL"/>
        </w:rPr>
      </w:pPr>
      <w:r>
        <w:rPr>
          <w:rStyle w:val="Znakiprzypiswdolnych"/>
        </w:rPr>
        <w:footnoteRef/>
      </w:r>
      <w:r>
        <w:rPr>
          <w:rFonts w:eastAsia="NSimSun" w:cs="Arial"/>
          <w:color w:val="000000"/>
          <w:spacing w:val="-2"/>
          <w:lang w:val="pl-PL" w:bidi="hi-IN"/>
        </w:rPr>
        <w:tab/>
        <w:t xml:space="preserve"> Określonych w załączniku nr 2 do Rozporządzenia Rady Ministrów w sprawie Krajowych Ram Interoperacyjności, minimalnych wymagań dla rejestrów publicznych i wymiany informacji w postaci elektronicznej oraz minimalnych wymagań dla systemów teleinformatycznych.</w:t>
      </w:r>
    </w:p>
  </w:footnote>
</w:footnote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spacing w:before="240" w:after="120"/>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agwek1"/>
      <w:spacing w:lineRule="auto" w:line="360"/>
      <w:rPr>
        <w:rFonts w:ascii="Cambria" w:hAnsi="Cambria"/>
        <w:color w:val="FF0000"/>
        <w:sz w:val="22"/>
        <w:szCs w:val="22"/>
      </w:rPr>
    </w:pPr>
    <w:r>
      <w:rPr>
        <w:rFonts w:ascii="Cambria" w:hAnsi="Cambria"/>
        <w:color w:val="FF0000"/>
        <w:sz w:val="22"/>
        <w:szCs w:val="22"/>
      </w:rPr>
    </w:r>
  </w:p>
  <w:p>
    <w:pPr>
      <w:pStyle w:val="Nagwek1"/>
      <w:spacing w:lineRule="auto" w:line="360"/>
      <w:rPr>
        <w:rFonts w:ascii="Cambria" w:hAnsi="Cambria"/>
        <w:color w:val="FF0000"/>
        <w:sz w:val="22"/>
        <w:szCs w:val="22"/>
      </w:rPr>
    </w:pPr>
    <w:r>
      <w:rPr/>
      <w:drawing>
        <wp:inline distT="0" distB="0" distL="0" distR="0">
          <wp:extent cx="5760720" cy="464820"/>
          <wp:effectExtent l="0" t="0" r="0" b="0"/>
          <wp:docPr id="3" name="Obraz 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Obraz 1" descr=""/>
                  <pic:cNvPicPr>
                    <a:picLocks noChangeAspect="1" noChangeArrowheads="1"/>
                  </pic:cNvPicPr>
                </pic:nvPicPr>
                <pic:blipFill>
                  <a:blip r:embed="rId1"/>
                  <a:stretch>
                    <a:fillRect/>
                  </a:stretch>
                </pic:blipFill>
                <pic:spPr bwMode="auto">
                  <a:xfrm>
                    <a:off x="0" y="0"/>
                    <a:ext cx="5760720" cy="464820"/>
                  </a:xfrm>
                  <a:prstGeom prst="rect">
                    <a:avLst/>
                  </a:prstGeom>
                  <a:noFill/>
                </pic:spPr>
              </pic:pic>
            </a:graphicData>
          </a:graphic>
        </wp:inline>
      </w:drawing>
    </w:r>
  </w:p>
  <w:p>
    <w:pPr>
      <w:pStyle w:val="BodyText"/>
      <w:spacing w:lineRule="auto" w:line="360"/>
      <w:rPr>
        <w:rFonts w:ascii="Cambria" w:hAnsi="Cambria"/>
        <w:color w:val="FF0000"/>
        <w:sz w:val="22"/>
        <w:szCs w:val="22"/>
      </w:rPr>
    </w:pPr>
    <w:r>
      <w:rPr>
        <w:rFonts w:ascii="Cambria" w:hAnsi="Cambria"/>
        <w:color w:val="FF0000"/>
        <w:sz w:val="22"/>
        <w:szCs w:val="22"/>
      </w:rPr>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agwek1"/>
      <w:spacing w:lineRule="auto" w:line="360"/>
      <w:rPr>
        <w:rFonts w:ascii="Cambria" w:hAnsi="Cambria"/>
        <w:color w:val="FF0000"/>
        <w:sz w:val="22"/>
        <w:szCs w:val="22"/>
      </w:rPr>
    </w:pPr>
    <w:r>
      <w:rPr>
        <w:rFonts w:ascii="Cambria" w:hAnsi="Cambria"/>
        <w:color w:val="FF0000"/>
        <w:sz w:val="22"/>
        <w:szCs w:val="22"/>
      </w:rPr>
    </w:r>
  </w:p>
  <w:p>
    <w:pPr>
      <w:pStyle w:val="Nagwek1"/>
      <w:spacing w:lineRule="auto" w:line="360"/>
      <w:rPr>
        <w:rFonts w:ascii="Cambria" w:hAnsi="Cambria"/>
        <w:color w:val="FF0000"/>
        <w:sz w:val="22"/>
        <w:szCs w:val="22"/>
      </w:rPr>
    </w:pPr>
    <w:r>
      <w:rPr/>
      <w:drawing>
        <wp:inline distT="0" distB="0" distL="0" distR="0">
          <wp:extent cx="5760720" cy="464820"/>
          <wp:effectExtent l="0" t="0" r="0" b="0"/>
          <wp:docPr id="4" name="Obraz 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Obraz 1" descr=""/>
                  <pic:cNvPicPr>
                    <a:picLocks noChangeAspect="1" noChangeArrowheads="1"/>
                  </pic:cNvPicPr>
                </pic:nvPicPr>
                <pic:blipFill>
                  <a:blip r:embed="rId1"/>
                  <a:stretch>
                    <a:fillRect/>
                  </a:stretch>
                </pic:blipFill>
                <pic:spPr bwMode="auto">
                  <a:xfrm>
                    <a:off x="0" y="0"/>
                    <a:ext cx="5760720" cy="464820"/>
                  </a:xfrm>
                  <a:prstGeom prst="rect">
                    <a:avLst/>
                  </a:prstGeom>
                  <a:noFill/>
                </pic:spPr>
              </pic:pic>
            </a:graphicData>
          </a:graphic>
        </wp:inline>
      </w:drawing>
    </w:r>
  </w:p>
  <w:p>
    <w:pPr>
      <w:pStyle w:val="BodyText"/>
      <w:spacing w:lineRule="auto" w:line="360"/>
      <w:rPr>
        <w:rFonts w:ascii="Cambria" w:hAnsi="Cambria"/>
        <w:color w:val="FF0000"/>
        <w:sz w:val="22"/>
        <w:szCs w:val="22"/>
      </w:rPr>
    </w:pPr>
    <w:r>
      <w:rPr>
        <w:rFonts w:ascii="Cambria" w:hAnsi="Cambria"/>
        <w:color w:val="FF0000"/>
        <w:sz w:val="22"/>
        <w:szCs w:val="22"/>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upperRoman"/>
      <w:lvlText w:val="%1."/>
      <w:lvlJc w:val="right"/>
      <w:pPr>
        <w:tabs>
          <w:tab w:val="num" w:pos="464"/>
        </w:tabs>
        <w:ind w:left="464" w:hanging="180"/>
      </w:pPr>
      <w:rPr>
        <w:sz w:val="22"/>
        <w:b/>
        <w:szCs w:val="24"/>
        <w:rFonts w:ascii="Cambria" w:hAnsi="Cambria"/>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2">
    <w:lvl w:ilvl="0">
      <w:start w:val="1"/>
      <w:numFmt w:val="decimal"/>
      <w:lvlText w:val="%1."/>
      <w:lvlJc w:val="left"/>
      <w:pPr>
        <w:tabs>
          <w:tab w:val="num" w:pos="0"/>
        </w:tabs>
        <w:ind w:left="360" w:hanging="360"/>
      </w:pPr>
      <w:rPr>
        <w:sz w:val="22"/>
        <w:b w:val="false"/>
        <w:bCs w:val="false"/>
        <w:rFonts w:ascii="Cambria" w:hAnsi="Cambria"/>
      </w:rPr>
    </w:lvl>
    <w:lvl w:ilvl="1">
      <w:start w:val="1"/>
      <w:numFmt w:val="decimal"/>
      <w:lvlText w:val="%1.%2."/>
      <w:lvlJc w:val="left"/>
      <w:pPr>
        <w:tabs>
          <w:tab w:val="num" w:pos="0"/>
        </w:tabs>
        <w:ind w:left="792" w:hanging="432"/>
      </w:pPr>
      <w:rPr>
        <w:sz w:val="22"/>
        <w:b w:val="false"/>
        <w:bCs w:val="false"/>
        <w:rFonts w:ascii="Cambria" w:hAnsi="Cambria" w:cs="Arial"/>
        <w:color w:themeColor="text1" w:val="000000"/>
      </w:rPr>
    </w:lvl>
    <w:lvl w:ilvl="2">
      <w:start w:val="1"/>
      <w:numFmt w:val="decimal"/>
      <w:lvlText w:val="%1.%2.%3."/>
      <w:lvlJc w:val="left"/>
      <w:pPr>
        <w:tabs>
          <w:tab w:val="num" w:pos="0"/>
        </w:tabs>
        <w:ind w:left="1224" w:hanging="504"/>
      </w:pPr>
      <w:rPr>
        <w:sz w:val="22"/>
        <w:b w:val="false"/>
        <w:bCs w:val="false"/>
        <w:rFonts w:ascii="Cambria" w:hAnsi="Cambria" w:cs="Arial"/>
        <w:color w:val="000000"/>
      </w:rPr>
    </w:lvl>
    <w:lvl w:ilvl="3">
      <w:start w:val="1"/>
      <w:numFmt w:val="decimal"/>
      <w:lvlText w:val="%1.%2.%3.%4."/>
      <w:lvlJc w:val="left"/>
      <w:pPr>
        <w:tabs>
          <w:tab w:val="num" w:pos="0"/>
        </w:tabs>
        <w:ind w:left="1728" w:hanging="648"/>
      </w:pPr>
      <w:rPr>
        <w:b/>
        <w:bCs/>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
    <w:lvl w:ilvl="0">
      <w:start w:val="1"/>
      <w:numFmt w:val="decimal"/>
      <w:lvlText w:val="%1."/>
      <w:lvlJc w:val="left"/>
      <w:pPr>
        <w:tabs>
          <w:tab w:val="num" w:pos="360"/>
        </w:tabs>
        <w:ind w:left="360" w:hanging="360"/>
      </w:pPr>
      <w:rPr>
        <w:sz w:val="22"/>
        <w:b/>
        <w:bCs/>
        <w:rFonts w:ascii="Cambria" w:hAnsi="Cambria"/>
      </w:rPr>
    </w:lvl>
    <w:lvl w:ilvl="1">
      <w:start w:val="1"/>
      <w:numFmt w:val="decimal"/>
      <w:lvlText w:val="%1.%2."/>
      <w:lvlJc w:val="left"/>
      <w:pPr>
        <w:tabs>
          <w:tab w:val="num" w:pos="792"/>
        </w:tabs>
        <w:ind w:left="792" w:hanging="432"/>
      </w:pPr>
      <w:rPr>
        <w:sz w:val="22"/>
        <w:b w:val="false"/>
        <w:bCs w:val="false"/>
        <w:rFonts w:ascii="Cambria" w:hAnsi="Cambria"/>
      </w:rPr>
    </w:lvl>
    <w:lvl w:ilvl="2">
      <w:start w:val="1"/>
      <w:numFmt w:val="decimal"/>
      <w:lvlText w:val="%1.%2.%3."/>
      <w:lvlJc w:val="left"/>
      <w:pPr>
        <w:tabs>
          <w:tab w:val="num" w:pos="1224"/>
        </w:tabs>
        <w:ind w:left="1224" w:hanging="504"/>
      </w:pPr>
      <w:rPr>
        <w:sz w:val="22"/>
        <w:szCs w:val="22"/>
        <w:rFonts w:cs="Tahoma"/>
      </w:rPr>
    </w:lvl>
    <w:lvl w:ilvl="3">
      <w:start w:val="1"/>
      <w:numFmt w:val="decimal"/>
      <w:lvlText w:val="%1.%2.%3.%4."/>
      <w:lvlJc w:val="left"/>
      <w:pPr>
        <w:tabs>
          <w:tab w:val="num" w:pos="1728"/>
        </w:tabs>
        <w:ind w:left="1728" w:hanging="648"/>
      </w:pPr>
      <w:rPr/>
    </w:lvl>
    <w:lvl w:ilvl="4">
      <w:start w:val="1"/>
      <w:numFmt w:val="decimal"/>
      <w:lvlText w:val="%1.%2.%3.%4.%5."/>
      <w:lvlJc w:val="left"/>
      <w:pPr>
        <w:tabs>
          <w:tab w:val="num" w:pos="2232"/>
        </w:tabs>
        <w:ind w:left="2232" w:hanging="792"/>
      </w:pPr>
      <w:rPr/>
    </w:lvl>
    <w:lvl w:ilvl="5">
      <w:start w:val="1"/>
      <w:numFmt w:val="decimal"/>
      <w:lvlText w:val="%1.%2.%3.%4.%5.%6."/>
      <w:lvlJc w:val="left"/>
      <w:pPr>
        <w:tabs>
          <w:tab w:val="num" w:pos="2736"/>
        </w:tabs>
        <w:ind w:left="2736" w:hanging="936"/>
      </w:pPr>
      <w:rPr/>
    </w:lvl>
    <w:lvl w:ilvl="6">
      <w:start w:val="1"/>
      <w:numFmt w:val="decimal"/>
      <w:lvlText w:val="%1.%2.%3.%4.%5.%6.%7."/>
      <w:lvlJc w:val="left"/>
      <w:pPr>
        <w:tabs>
          <w:tab w:val="num" w:pos="3240"/>
        </w:tabs>
        <w:ind w:left="3240" w:hanging="1080"/>
      </w:pPr>
      <w:rPr/>
    </w:lvl>
    <w:lvl w:ilvl="7">
      <w:start w:val="1"/>
      <w:numFmt w:val="decimal"/>
      <w:lvlText w:val="%1.%2.%3.%4.%5.%6.%7.%8."/>
      <w:lvlJc w:val="left"/>
      <w:pPr>
        <w:tabs>
          <w:tab w:val="num" w:pos="3744"/>
        </w:tabs>
        <w:ind w:left="3744" w:hanging="1224"/>
      </w:pPr>
      <w:rPr/>
    </w:lvl>
    <w:lvl w:ilvl="8">
      <w:start w:val="1"/>
      <w:numFmt w:val="decimal"/>
      <w:lvlText w:val="%1.%2.%3.%4.%5.%6.%7.%8.%9."/>
      <w:lvlJc w:val="left"/>
      <w:pPr>
        <w:tabs>
          <w:tab w:val="num" w:pos="4320"/>
        </w:tabs>
        <w:ind w:left="4320" w:hanging="1440"/>
      </w:pPr>
      <w:rPr/>
    </w:lvl>
  </w:abstractNum>
  <w:abstractNum w:abstractNumId="4">
    <w:lvl w:ilvl="0">
      <w:start w:val="1"/>
      <w:numFmt w:val="decimal"/>
      <w:lvlText w:val="%1."/>
      <w:lvlJc w:val="left"/>
      <w:pPr>
        <w:tabs>
          <w:tab w:val="num" w:pos="360"/>
        </w:tabs>
        <w:ind w:left="360" w:hanging="360"/>
      </w:pPr>
      <w:rPr>
        <w:sz w:val="22"/>
        <w:b/>
        <w:bCs w:val="false"/>
        <w:rFonts w:ascii="Cambria" w:hAnsi="Cambria" w:cs="Times New Roman"/>
      </w:rPr>
    </w:lvl>
    <w:lvl w:ilvl="1">
      <w:start w:val="1"/>
      <w:numFmt w:val="decimal"/>
      <w:lvlText w:val="%1.%2."/>
      <w:lvlJc w:val="left"/>
      <w:pPr>
        <w:tabs>
          <w:tab w:val="num" w:pos="972"/>
        </w:tabs>
        <w:ind w:left="972" w:hanging="432"/>
      </w:pPr>
      <w:rPr>
        <w:b w:val="false"/>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5">
    <w:lvl w:ilvl="0">
      <w:start w:val="1"/>
      <w:numFmt w:val="decimal"/>
      <w:lvlText w:val="%1."/>
      <w:lvlJc w:val="left"/>
      <w:pPr>
        <w:tabs>
          <w:tab w:val="num" w:pos="360"/>
        </w:tabs>
        <w:ind w:left="360" w:hanging="360"/>
      </w:pPr>
      <w:rPr>
        <w:sz w:val="22"/>
        <w:b w:val="false"/>
        <w:bCs w:val="false"/>
        <w:rFonts w:ascii="Cambria" w:hAnsi="Cambria" w:cs="Times New Roman"/>
        <w:color w:val="auto"/>
      </w:rPr>
    </w:lvl>
    <w:lvl w:ilvl="1">
      <w:start w:val="1"/>
      <w:numFmt w:val="decimal"/>
      <w:lvlText w:val="%1.%2."/>
      <w:lvlJc w:val="left"/>
      <w:pPr>
        <w:tabs>
          <w:tab w:val="num" w:pos="432"/>
        </w:tabs>
        <w:ind w:left="432" w:hanging="432"/>
      </w:pPr>
      <w:rPr>
        <w:sz w:val="22"/>
        <w:b w:val="false"/>
        <w:bCs w:val="false"/>
        <w:rFonts w:ascii="Cambria" w:hAnsi="Cambria" w:cs="Times New Roman"/>
      </w:rPr>
    </w:lvl>
    <w:lvl w:ilvl="2">
      <w:start w:val="1"/>
      <w:numFmt w:val="decimal"/>
      <w:lvlText w:val="%1.%2.%3."/>
      <w:lvlJc w:val="left"/>
      <w:pPr>
        <w:tabs>
          <w:tab w:val="num" w:pos="1224"/>
        </w:tabs>
        <w:ind w:left="1224" w:hanging="504"/>
      </w:pPr>
      <w:rPr>
        <w:sz w:val="24"/>
        <w:szCs w:val="24"/>
        <w:rFonts w:cs="Tahoma"/>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6">
    <w:lvl w:ilvl="0">
      <w:start w:val="1"/>
      <w:numFmt w:val="bullet"/>
      <w:lvlText w:val=""/>
      <w:lvlJc w:val="left"/>
      <w:pPr>
        <w:tabs>
          <w:tab w:val="num" w:pos="720"/>
        </w:tabs>
        <w:ind w:left="720" w:hanging="360"/>
      </w:pPr>
      <w:rPr>
        <w:rFonts w:ascii="Symbol" w:hAnsi="Symbol" w:cs="Symbol" w:hint="default"/>
        <w:sz w:val="22"/>
      </w:rPr>
    </w:lvl>
    <w:lvl w:ilvl="1">
      <w:start w:val="1"/>
      <w:numFmt w:val="bullet"/>
      <w:lvlText w:val="-"/>
      <w:lvlJc w:val="left"/>
      <w:pPr>
        <w:tabs>
          <w:tab w:val="num" w:pos="0"/>
        </w:tabs>
        <w:ind w:left="1440" w:hanging="360"/>
      </w:pPr>
      <w:rPr>
        <w:rFonts w:ascii="Calibri" w:hAnsi="Calibri" w:cs="Calibri"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7">
    <w:lvl w:ilvl="0">
      <w:start w:val="1"/>
      <w:numFmt w:val="decimal"/>
      <w:lvlText w:val="%1."/>
      <w:lvlJc w:val="left"/>
      <w:pPr>
        <w:tabs>
          <w:tab w:val="num" w:pos="360"/>
        </w:tabs>
        <w:ind w:left="360" w:hanging="360"/>
      </w:pPr>
      <w:rPr>
        <w:dstrike w:val="false"/>
        <w:strike w:val="false"/>
        <w:sz w:val="22"/>
        <w:b/>
        <w:bCs/>
        <w:rFonts w:ascii="Cambria" w:hAnsi="Cambria"/>
      </w:rPr>
    </w:lvl>
    <w:lvl w:ilvl="1">
      <w:start w:val="1"/>
      <w:numFmt w:val="decimal"/>
      <w:lvlText w:val="%1.%2."/>
      <w:lvlJc w:val="left"/>
      <w:pPr>
        <w:tabs>
          <w:tab w:val="num" w:pos="716"/>
        </w:tabs>
        <w:ind w:left="716" w:hanging="432"/>
      </w:pPr>
      <w:rPr>
        <w:sz w:val="22"/>
        <w:b/>
        <w:szCs w:val="22"/>
        <w:bCs w:val="false"/>
        <w:rFonts w:ascii="Cambria" w:hAnsi="Cambria" w:cs="Arial"/>
      </w:rPr>
    </w:lvl>
    <w:lvl w:ilvl="2">
      <w:start w:val="1"/>
      <w:numFmt w:val="decimal"/>
      <w:lvlText w:val="%1.%2.%3."/>
      <w:lvlJc w:val="left"/>
      <w:pPr>
        <w:tabs>
          <w:tab w:val="num" w:pos="1440"/>
        </w:tabs>
        <w:ind w:left="1224" w:hanging="504"/>
      </w:pPr>
      <w:rPr>
        <w:sz w:val="22"/>
        <w:b/>
        <w:szCs w:val="22"/>
        <w:bCs/>
        <w:rFonts w:ascii="Cambria" w:hAnsi="Cambria"/>
        <w:color w:val="00000A"/>
      </w:rPr>
    </w:lvl>
    <w:lvl w:ilvl="3">
      <w:start w:val="1"/>
      <w:numFmt w:val="decimal"/>
      <w:lvlText w:val="%1.%2.%3.%4."/>
      <w:lvlJc w:val="left"/>
      <w:pPr>
        <w:tabs>
          <w:tab w:val="num" w:pos="2160"/>
        </w:tabs>
        <w:ind w:left="1728" w:hanging="648"/>
      </w:pPr>
      <w:rPr>
        <w:sz w:val="22"/>
        <w:b w:val="false"/>
        <w:szCs w:val="22"/>
        <w:bCs w:val="false"/>
        <w:rFonts w:ascii="Cambria" w:hAnsi="Cambria"/>
        <w:color w:val="00000A"/>
      </w:rPr>
    </w:lvl>
    <w:lvl w:ilvl="4">
      <w:start w:val="1"/>
      <w:numFmt w:val="lowerLetter"/>
      <w:lvlText w:val="%5)"/>
      <w:lvlJc w:val="left"/>
      <w:pPr>
        <w:tabs>
          <w:tab w:val="num" w:pos="2520"/>
        </w:tabs>
        <w:ind w:left="2232" w:hanging="792"/>
      </w:pPr>
      <w:rPr>
        <w:color w:themeColor="text1" w:val="000000"/>
      </w:rPr>
    </w:lvl>
    <w:lvl w:ilvl="5">
      <w:start w:val="1"/>
      <w:numFmt w:val="decimal"/>
      <w:lvlText w:val="%1.%2.%3.%4.%5.%6."/>
      <w:lvlJc w:val="left"/>
      <w:pPr>
        <w:tabs>
          <w:tab w:val="num" w:pos="3240"/>
        </w:tabs>
        <w:ind w:left="2736" w:hanging="936"/>
      </w:pPr>
      <w:rPr/>
    </w:lvl>
    <w:lvl w:ilvl="6">
      <w:start w:val="1"/>
      <w:numFmt w:val="decimal"/>
      <w:lvlText w:val="%1.%2.%3.%4.%5.%6.%7."/>
      <w:lvlJc w:val="left"/>
      <w:pPr>
        <w:tabs>
          <w:tab w:val="num" w:pos="3600"/>
        </w:tabs>
        <w:ind w:left="3240" w:hanging="1080"/>
      </w:pPr>
      <w:rPr/>
    </w:lvl>
    <w:lvl w:ilvl="7">
      <w:start w:val="1"/>
      <w:numFmt w:val="decimal"/>
      <w:lvlText w:val="%1.%2.%3.%4.%5.%6.%7.%8."/>
      <w:lvlJc w:val="left"/>
      <w:pPr>
        <w:tabs>
          <w:tab w:val="num" w:pos="4320"/>
        </w:tabs>
        <w:ind w:left="3744" w:hanging="1224"/>
      </w:pPr>
      <w:rPr/>
    </w:lvl>
    <w:lvl w:ilvl="8">
      <w:start w:val="1"/>
      <w:numFmt w:val="decimal"/>
      <w:lvlText w:val="%1.%2.%3.%4.%5.%6.%7.%8.%9."/>
      <w:lvlJc w:val="left"/>
      <w:pPr>
        <w:tabs>
          <w:tab w:val="num" w:pos="5040"/>
        </w:tabs>
        <w:ind w:left="4320" w:hanging="1440"/>
      </w:pPr>
      <w:rPr/>
    </w:lvl>
  </w:abstractNum>
  <w:abstractNum w:abstractNumId="8">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340"/>
        </w:tabs>
        <w:ind w:left="2340" w:hanging="360"/>
      </w:pPr>
      <w:rPr>
        <w:rFonts w:cs="Times New Roman"/>
      </w:rPr>
    </w:lvl>
    <w:lvl w:ilvl="3">
      <w:start w:val="1"/>
      <w:numFmt w:val="decimal"/>
      <w:lvlText w:val="%4."/>
      <w:lvlJc w:val="left"/>
      <w:pPr>
        <w:tabs>
          <w:tab w:val="num" w:pos="2880"/>
        </w:tabs>
        <w:ind w:left="2880" w:hanging="360"/>
      </w:pPr>
      <w:rPr>
        <w:sz w:val="22"/>
        <w:b/>
        <w:bCs/>
        <w:rFonts w:ascii="Cambria" w:hAnsi="Cambria" w:eastAsia="Times New Roman" w:cs="Arial"/>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360"/>
        </w:tabs>
        <w:ind w:left="360" w:hanging="360"/>
      </w:pPr>
      <w:rPr>
        <w:b/>
        <w:rFonts w:cs="Times New Roman"/>
        <w:color w:val="auto"/>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9">
    <w:lvl w:ilvl="0">
      <w:start w:val="1"/>
      <w:numFmt w:val="lowerLetter"/>
      <w:lvlText w:val="%1)"/>
      <w:lvlJc w:val="left"/>
      <w:pPr>
        <w:tabs>
          <w:tab w:val="num" w:pos="0"/>
        </w:tabs>
        <w:ind w:left="1158" w:hanging="360"/>
      </w:pPr>
      <w:rPr>
        <w:sz w:val="22"/>
        <w:b w:val="false"/>
        <w:szCs w:val="24"/>
        <w:rFonts w:ascii="Cambria" w:hAnsi="Cambria"/>
      </w:rPr>
    </w:lvl>
    <w:lvl w:ilvl="1">
      <w:start w:val="1"/>
      <w:numFmt w:val="lowerLetter"/>
      <w:lvlText w:val="%2."/>
      <w:lvlJc w:val="left"/>
      <w:pPr>
        <w:tabs>
          <w:tab w:val="num" w:pos="0"/>
        </w:tabs>
        <w:ind w:left="1878" w:hanging="360"/>
      </w:pPr>
      <w:rPr/>
    </w:lvl>
    <w:lvl w:ilvl="2">
      <w:start w:val="1"/>
      <w:numFmt w:val="lowerRoman"/>
      <w:lvlText w:val="%3."/>
      <w:lvlJc w:val="right"/>
      <w:pPr>
        <w:tabs>
          <w:tab w:val="num" w:pos="0"/>
        </w:tabs>
        <w:ind w:left="2598" w:hanging="180"/>
      </w:pPr>
      <w:rPr/>
    </w:lvl>
    <w:lvl w:ilvl="3">
      <w:start w:val="1"/>
      <w:numFmt w:val="decimal"/>
      <w:lvlText w:val="%4."/>
      <w:lvlJc w:val="left"/>
      <w:pPr>
        <w:tabs>
          <w:tab w:val="num" w:pos="0"/>
        </w:tabs>
        <w:ind w:left="3318" w:hanging="360"/>
      </w:pPr>
      <w:rPr/>
    </w:lvl>
    <w:lvl w:ilvl="4">
      <w:start w:val="1"/>
      <w:numFmt w:val="lowerLetter"/>
      <w:lvlText w:val="%5."/>
      <w:lvlJc w:val="left"/>
      <w:pPr>
        <w:tabs>
          <w:tab w:val="num" w:pos="0"/>
        </w:tabs>
        <w:ind w:left="4038" w:hanging="360"/>
      </w:pPr>
      <w:rPr/>
    </w:lvl>
    <w:lvl w:ilvl="5">
      <w:start w:val="1"/>
      <w:numFmt w:val="lowerRoman"/>
      <w:lvlText w:val="%6."/>
      <w:lvlJc w:val="right"/>
      <w:pPr>
        <w:tabs>
          <w:tab w:val="num" w:pos="0"/>
        </w:tabs>
        <w:ind w:left="4758" w:hanging="180"/>
      </w:pPr>
      <w:rPr/>
    </w:lvl>
    <w:lvl w:ilvl="6">
      <w:start w:val="1"/>
      <w:numFmt w:val="decimal"/>
      <w:lvlText w:val="%7."/>
      <w:lvlJc w:val="left"/>
      <w:pPr>
        <w:tabs>
          <w:tab w:val="num" w:pos="0"/>
        </w:tabs>
        <w:ind w:left="5478" w:hanging="360"/>
      </w:pPr>
      <w:rPr/>
    </w:lvl>
    <w:lvl w:ilvl="7">
      <w:start w:val="1"/>
      <w:numFmt w:val="lowerLetter"/>
      <w:lvlText w:val="%8."/>
      <w:lvlJc w:val="left"/>
      <w:pPr>
        <w:tabs>
          <w:tab w:val="num" w:pos="0"/>
        </w:tabs>
        <w:ind w:left="6198" w:hanging="360"/>
      </w:pPr>
      <w:rPr/>
    </w:lvl>
    <w:lvl w:ilvl="8">
      <w:start w:val="1"/>
      <w:numFmt w:val="lowerRoman"/>
      <w:lvlText w:val="%9."/>
      <w:lvlJc w:val="right"/>
      <w:pPr>
        <w:tabs>
          <w:tab w:val="num" w:pos="0"/>
        </w:tabs>
        <w:ind w:left="6918" w:hanging="180"/>
      </w:pPr>
      <w:rPr/>
    </w:lvl>
  </w:abstractNum>
  <w:abstractNum w:abstractNumId="10">
    <w:lvl w:ilvl="0">
      <w:start w:val="1"/>
      <w:numFmt w:val="decimal"/>
      <w:lvlText w:val="%1."/>
      <w:lvlJc w:val="left"/>
      <w:pPr>
        <w:tabs>
          <w:tab w:val="num" w:pos="360"/>
        </w:tabs>
        <w:ind w:left="360" w:hanging="360"/>
      </w:pPr>
      <w:rPr>
        <w:sz w:val="22"/>
        <w:b/>
        <w:szCs w:val="22"/>
        <w:bCs/>
        <w:rFonts w:ascii="Cambria" w:hAnsi="Cambria"/>
        <w:color w:val="auto"/>
      </w:rPr>
    </w:lvl>
    <w:lvl w:ilvl="1">
      <w:start w:val="1"/>
      <w:numFmt w:val="decimal"/>
      <w:lvlText w:val="%1.%2."/>
      <w:lvlJc w:val="left"/>
      <w:pPr>
        <w:tabs>
          <w:tab w:val="num" w:pos="972"/>
        </w:tabs>
        <w:ind w:left="972" w:hanging="432"/>
      </w:pPr>
      <w:rPr>
        <w:color w:val="auto"/>
      </w:rPr>
    </w:lvl>
    <w:lvl w:ilvl="2">
      <w:start w:val="1"/>
      <w:numFmt w:val="decimal"/>
      <w:lvlText w:val="%1.%2.%3."/>
      <w:lvlJc w:val="left"/>
      <w:pPr>
        <w:tabs>
          <w:tab w:val="num" w:pos="1440"/>
        </w:tabs>
        <w:ind w:left="1224" w:hanging="504"/>
      </w:pPr>
      <w:rPr/>
    </w:lvl>
    <w:lvl w:ilvl="3">
      <w:start w:val="1"/>
      <w:numFmt w:val="decimal"/>
      <w:lvlText w:val="%1.%2.%3.%4."/>
      <w:lvlJc w:val="left"/>
      <w:pPr>
        <w:tabs>
          <w:tab w:val="num" w:pos="2160"/>
        </w:tabs>
        <w:ind w:left="1728" w:hanging="648"/>
      </w:pPr>
      <w:rPr/>
    </w:lvl>
    <w:lvl w:ilvl="4">
      <w:start w:val="1"/>
      <w:numFmt w:val="decimal"/>
      <w:lvlText w:val="%1.%2.%3.%4.%5."/>
      <w:lvlJc w:val="left"/>
      <w:pPr>
        <w:tabs>
          <w:tab w:val="num" w:pos="2520"/>
        </w:tabs>
        <w:ind w:left="2232" w:hanging="792"/>
      </w:pPr>
      <w:rPr/>
    </w:lvl>
    <w:lvl w:ilvl="5">
      <w:start w:val="1"/>
      <w:numFmt w:val="decimal"/>
      <w:lvlText w:val="%1.%2.%3.%4.%5.%6."/>
      <w:lvlJc w:val="left"/>
      <w:pPr>
        <w:tabs>
          <w:tab w:val="num" w:pos="3240"/>
        </w:tabs>
        <w:ind w:left="2736" w:hanging="936"/>
      </w:pPr>
      <w:rPr/>
    </w:lvl>
    <w:lvl w:ilvl="6">
      <w:start w:val="1"/>
      <w:numFmt w:val="decimal"/>
      <w:lvlText w:val="%1.%2.%3.%4.%5.%6.%7."/>
      <w:lvlJc w:val="left"/>
      <w:pPr>
        <w:tabs>
          <w:tab w:val="num" w:pos="3600"/>
        </w:tabs>
        <w:ind w:left="3240" w:hanging="1080"/>
      </w:pPr>
      <w:rPr/>
    </w:lvl>
    <w:lvl w:ilvl="7">
      <w:start w:val="1"/>
      <w:numFmt w:val="decimal"/>
      <w:lvlText w:val="%1.%2.%3.%4.%5.%6.%7.%8."/>
      <w:lvlJc w:val="left"/>
      <w:pPr>
        <w:tabs>
          <w:tab w:val="num" w:pos="4320"/>
        </w:tabs>
        <w:ind w:left="3744" w:hanging="1224"/>
      </w:pPr>
      <w:rPr/>
    </w:lvl>
    <w:lvl w:ilvl="8">
      <w:start w:val="1"/>
      <w:numFmt w:val="decimal"/>
      <w:lvlText w:val="%1.%2.%3.%4.%5.%6.%7.%8.%9."/>
      <w:lvlJc w:val="left"/>
      <w:pPr>
        <w:tabs>
          <w:tab w:val="num" w:pos="4680"/>
        </w:tabs>
        <w:ind w:left="4320" w:hanging="1440"/>
      </w:pPr>
      <w:rPr/>
    </w:lvl>
  </w:abstractNum>
  <w:abstractNum w:abstractNumId="11">
    <w:lvl w:ilvl="0">
      <w:start w:val="1"/>
      <w:numFmt w:val="lowerLetter"/>
      <w:lvlText w:val="%1)"/>
      <w:lvlJc w:val="left"/>
      <w:pPr>
        <w:tabs>
          <w:tab w:val="num" w:pos="0"/>
        </w:tabs>
        <w:ind w:left="1077" w:hanging="360"/>
      </w:pPr>
      <w:rPr/>
    </w:lvl>
    <w:lvl w:ilvl="1">
      <w:start w:val="1"/>
      <w:numFmt w:val="lowerLetter"/>
      <w:lvlText w:val="%2."/>
      <w:lvlJc w:val="left"/>
      <w:pPr>
        <w:tabs>
          <w:tab w:val="num" w:pos="0"/>
        </w:tabs>
        <w:ind w:left="1797" w:hanging="360"/>
      </w:pPr>
      <w:rPr/>
    </w:lvl>
    <w:lvl w:ilvl="2">
      <w:start w:val="1"/>
      <w:numFmt w:val="lowerRoman"/>
      <w:lvlText w:val="%3."/>
      <w:lvlJc w:val="right"/>
      <w:pPr>
        <w:tabs>
          <w:tab w:val="num" w:pos="0"/>
        </w:tabs>
        <w:ind w:left="2517" w:hanging="180"/>
      </w:pPr>
      <w:rPr/>
    </w:lvl>
    <w:lvl w:ilvl="3">
      <w:start w:val="1"/>
      <w:numFmt w:val="decimal"/>
      <w:lvlText w:val="%4."/>
      <w:lvlJc w:val="left"/>
      <w:pPr>
        <w:tabs>
          <w:tab w:val="num" w:pos="0"/>
        </w:tabs>
        <w:ind w:left="3237" w:hanging="360"/>
      </w:pPr>
      <w:rPr/>
    </w:lvl>
    <w:lvl w:ilvl="4">
      <w:start w:val="1"/>
      <w:numFmt w:val="lowerLetter"/>
      <w:lvlText w:val="%5."/>
      <w:lvlJc w:val="left"/>
      <w:pPr>
        <w:tabs>
          <w:tab w:val="num" w:pos="0"/>
        </w:tabs>
        <w:ind w:left="3957" w:hanging="360"/>
      </w:pPr>
      <w:rPr/>
    </w:lvl>
    <w:lvl w:ilvl="5">
      <w:start w:val="1"/>
      <w:numFmt w:val="lowerRoman"/>
      <w:lvlText w:val="%6."/>
      <w:lvlJc w:val="right"/>
      <w:pPr>
        <w:tabs>
          <w:tab w:val="num" w:pos="0"/>
        </w:tabs>
        <w:ind w:left="4677" w:hanging="180"/>
      </w:pPr>
      <w:rPr/>
    </w:lvl>
    <w:lvl w:ilvl="6">
      <w:start w:val="1"/>
      <w:numFmt w:val="decimal"/>
      <w:lvlText w:val="%7."/>
      <w:lvlJc w:val="left"/>
      <w:pPr>
        <w:tabs>
          <w:tab w:val="num" w:pos="0"/>
        </w:tabs>
        <w:ind w:left="5397" w:hanging="360"/>
      </w:pPr>
      <w:rPr/>
    </w:lvl>
    <w:lvl w:ilvl="7">
      <w:start w:val="1"/>
      <w:numFmt w:val="lowerLetter"/>
      <w:lvlText w:val="%8."/>
      <w:lvlJc w:val="left"/>
      <w:pPr>
        <w:tabs>
          <w:tab w:val="num" w:pos="0"/>
        </w:tabs>
        <w:ind w:left="6117" w:hanging="360"/>
      </w:pPr>
      <w:rPr/>
    </w:lvl>
    <w:lvl w:ilvl="8">
      <w:start w:val="1"/>
      <w:numFmt w:val="lowerRoman"/>
      <w:lvlText w:val="%9."/>
      <w:lvlJc w:val="right"/>
      <w:pPr>
        <w:tabs>
          <w:tab w:val="num" w:pos="0"/>
        </w:tabs>
        <w:ind w:left="6837" w:hanging="180"/>
      </w:pPr>
      <w:rPr/>
    </w:lvl>
  </w:abstractNum>
  <w:abstractNum w:abstractNumId="12">
    <w:lvl w:ilvl="0">
      <w:start w:val="1"/>
      <w:numFmt w:val="decimal"/>
      <w:lvlText w:val="%1."/>
      <w:lvlJc w:val="left"/>
      <w:pPr>
        <w:tabs>
          <w:tab w:val="num" w:pos="576"/>
        </w:tabs>
        <w:ind w:left="576" w:hanging="360"/>
      </w:pPr>
      <w:rPr>
        <w:sz w:val="22"/>
        <w:b/>
        <w:bCs/>
        <w:rFonts w:ascii="Cambria" w:hAnsi="Cambria"/>
      </w:rPr>
    </w:lvl>
    <w:lvl w:ilvl="1">
      <w:start w:val="1"/>
      <w:numFmt w:val="lowerLetter"/>
      <w:lvlText w:val="%2."/>
      <w:lvlJc w:val="left"/>
      <w:pPr>
        <w:tabs>
          <w:tab w:val="num" w:pos="1440"/>
        </w:tabs>
        <w:ind w:left="1440" w:hanging="360"/>
      </w:pPr>
      <w:rPr/>
    </w:lvl>
    <w:lvl w:ilvl="2">
      <w:start w:val="1"/>
      <w:numFmt w:val="lowerRoman"/>
      <w:lvlText w:val="%3."/>
      <w:lvlJc w:val="right"/>
      <w:pPr>
        <w:tabs>
          <w:tab w:val="num" w:pos="2160"/>
        </w:tabs>
        <w:ind w:left="2160" w:hanging="180"/>
      </w:pPr>
      <w:rPr/>
    </w:lvl>
    <w:lvl w:ilvl="3">
      <w:start w:val="1"/>
      <w:numFmt w:val="decimal"/>
      <w:lvlText w:val="%4."/>
      <w:lvlJc w:val="left"/>
      <w:pPr>
        <w:tabs>
          <w:tab w:val="num" w:pos="2880"/>
        </w:tabs>
        <w:ind w:left="2880" w:hanging="360"/>
      </w:pPr>
      <w:rPr/>
    </w:lvl>
    <w:lvl w:ilvl="4">
      <w:start w:val="1"/>
      <w:numFmt w:val="lowerLetter"/>
      <w:lvlText w:val="%5."/>
      <w:lvlJc w:val="left"/>
      <w:pPr>
        <w:tabs>
          <w:tab w:val="num" w:pos="3600"/>
        </w:tabs>
        <w:ind w:left="3600" w:hanging="360"/>
      </w:pPr>
      <w:rPr/>
    </w:lvl>
    <w:lvl w:ilvl="5">
      <w:start w:val="1"/>
      <w:numFmt w:val="lowerRoman"/>
      <w:lvlText w:val="%6."/>
      <w:lvlJc w:val="right"/>
      <w:pPr>
        <w:tabs>
          <w:tab w:val="num" w:pos="4320"/>
        </w:tabs>
        <w:ind w:left="4320" w:hanging="180"/>
      </w:pPr>
      <w:rPr/>
    </w:lvl>
    <w:lvl w:ilvl="6">
      <w:start w:val="1"/>
      <w:numFmt w:val="decimal"/>
      <w:lvlText w:val="%7."/>
      <w:lvlJc w:val="left"/>
      <w:pPr>
        <w:tabs>
          <w:tab w:val="num" w:pos="5040"/>
        </w:tabs>
        <w:ind w:left="5040" w:hanging="360"/>
      </w:pPr>
      <w:rPr/>
    </w:lvl>
    <w:lvl w:ilvl="7">
      <w:start w:val="1"/>
      <w:numFmt w:val="lowerLetter"/>
      <w:lvlText w:val="%8."/>
      <w:lvlJc w:val="left"/>
      <w:pPr>
        <w:tabs>
          <w:tab w:val="num" w:pos="5760"/>
        </w:tabs>
        <w:ind w:left="5760" w:hanging="360"/>
      </w:pPr>
      <w:rPr/>
    </w:lvl>
    <w:lvl w:ilvl="8">
      <w:start w:val="1"/>
      <w:numFmt w:val="lowerRoman"/>
      <w:lvlText w:val="%9."/>
      <w:lvlJc w:val="right"/>
      <w:pPr>
        <w:tabs>
          <w:tab w:val="num" w:pos="6480"/>
        </w:tabs>
        <w:ind w:left="6480" w:hanging="180"/>
      </w:pPr>
      <w:rPr/>
    </w:lvl>
  </w:abstractNum>
  <w:abstractNum w:abstractNumId="13">
    <w:lvl w:ilvl="0">
      <w:start w:val="1"/>
      <w:numFmt w:val="lowerLetter"/>
      <w:lvlText w:val="%1)"/>
      <w:lvlJc w:val="left"/>
      <w:pPr>
        <w:tabs>
          <w:tab w:val="num" w:pos="0"/>
        </w:tabs>
        <w:ind w:left="1069" w:hanging="360"/>
      </w:pPr>
      <w:rPr>
        <w:sz w:val="22"/>
        <w:rFonts w:ascii="Cambria" w:hAnsi="Cambria"/>
        <w:color w:val="auto"/>
      </w:rPr>
    </w:lvl>
    <w:lvl w:ilvl="1">
      <w:start w:val="1"/>
      <w:numFmt w:val="lowerLetter"/>
      <w:lvlText w:val="%2)"/>
      <w:lvlJc w:val="left"/>
      <w:pPr>
        <w:tabs>
          <w:tab w:val="num" w:pos="0"/>
        </w:tabs>
        <w:ind w:left="1789" w:hanging="360"/>
      </w:pPr>
      <w:rPr/>
    </w:lvl>
    <w:lvl w:ilvl="2">
      <w:start w:val="1"/>
      <w:numFmt w:val="lowerRoman"/>
      <w:lvlText w:val="%3."/>
      <w:lvlJc w:val="right"/>
      <w:pPr>
        <w:tabs>
          <w:tab w:val="num" w:pos="0"/>
        </w:tabs>
        <w:ind w:left="2509" w:hanging="180"/>
      </w:pPr>
      <w:rPr/>
    </w:lvl>
    <w:lvl w:ilvl="3">
      <w:start w:val="1"/>
      <w:numFmt w:val="decimal"/>
      <w:lvlText w:val="%4."/>
      <w:lvlJc w:val="left"/>
      <w:pPr>
        <w:tabs>
          <w:tab w:val="num" w:pos="0"/>
        </w:tabs>
        <w:ind w:left="3229" w:hanging="360"/>
      </w:pPr>
      <w:rPr/>
    </w:lvl>
    <w:lvl w:ilvl="4">
      <w:start w:val="1"/>
      <w:numFmt w:val="lowerLetter"/>
      <w:lvlText w:val="%5."/>
      <w:lvlJc w:val="left"/>
      <w:pPr>
        <w:tabs>
          <w:tab w:val="num" w:pos="0"/>
        </w:tabs>
        <w:ind w:left="3949" w:hanging="360"/>
      </w:pPr>
      <w:rPr/>
    </w:lvl>
    <w:lvl w:ilvl="5">
      <w:start w:val="1"/>
      <w:numFmt w:val="lowerRoman"/>
      <w:lvlText w:val="%6."/>
      <w:lvlJc w:val="right"/>
      <w:pPr>
        <w:tabs>
          <w:tab w:val="num" w:pos="0"/>
        </w:tabs>
        <w:ind w:left="4669" w:hanging="180"/>
      </w:pPr>
      <w:rPr/>
    </w:lvl>
    <w:lvl w:ilvl="6">
      <w:start w:val="1"/>
      <w:numFmt w:val="decimal"/>
      <w:lvlText w:val="%7."/>
      <w:lvlJc w:val="left"/>
      <w:pPr>
        <w:tabs>
          <w:tab w:val="num" w:pos="0"/>
        </w:tabs>
        <w:ind w:left="5389" w:hanging="360"/>
      </w:pPr>
      <w:rPr/>
    </w:lvl>
    <w:lvl w:ilvl="7">
      <w:start w:val="1"/>
      <w:numFmt w:val="lowerLetter"/>
      <w:lvlText w:val="%8."/>
      <w:lvlJc w:val="left"/>
      <w:pPr>
        <w:tabs>
          <w:tab w:val="num" w:pos="0"/>
        </w:tabs>
        <w:ind w:left="6109" w:hanging="360"/>
      </w:pPr>
      <w:rPr/>
    </w:lvl>
    <w:lvl w:ilvl="8">
      <w:start w:val="1"/>
      <w:numFmt w:val="lowerRoman"/>
      <w:lvlText w:val="%9."/>
      <w:lvlJc w:val="right"/>
      <w:pPr>
        <w:tabs>
          <w:tab w:val="num" w:pos="0"/>
        </w:tabs>
        <w:ind w:left="6829" w:hanging="180"/>
      </w:pPr>
      <w:rPr/>
    </w:lvl>
  </w:abstractNum>
  <w:abstractNum w:abstractNumId="14">
    <w:lvl w:ilvl="0">
      <w:start w:val="1"/>
      <w:numFmt w:val="lowerLetter"/>
      <w:lvlText w:val="%1)"/>
      <w:lvlJc w:val="left"/>
      <w:pPr>
        <w:tabs>
          <w:tab w:val="num" w:pos="720"/>
        </w:tabs>
        <w:ind w:left="720" w:hanging="360"/>
      </w:pPr>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340"/>
        </w:tabs>
        <w:ind w:left="2340" w:hanging="360"/>
      </w:pPr>
      <w:rPr>
        <w:rFonts w:cs="Times New Roman"/>
      </w:rPr>
    </w:lvl>
    <w:lvl w:ilvl="3">
      <w:start w:val="1"/>
      <w:numFmt w:val="decimal"/>
      <w:lvlText w:val="%4."/>
      <w:lvlJc w:val="left"/>
      <w:pPr>
        <w:tabs>
          <w:tab w:val="num" w:pos="2880"/>
        </w:tabs>
        <w:ind w:left="2880" w:hanging="360"/>
      </w:pPr>
      <w:rPr>
        <w:rFonts w:eastAsia="Times New Roman" w:cs="Times New Roman"/>
      </w:rPr>
    </w:lvl>
    <w:lvl w:ilvl="4">
      <w:start w:val="1"/>
      <w:numFmt w:val="decimal"/>
      <w:lvlText w:val="%5)"/>
      <w:lvlJc w:val="left"/>
      <w:pPr>
        <w:tabs>
          <w:tab w:val="num" w:pos="3600"/>
        </w:tabs>
        <w:ind w:left="3600" w:hanging="360"/>
      </w:pPr>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360"/>
        </w:tabs>
        <w:ind w:left="360" w:hanging="360"/>
      </w:pPr>
      <w:rPr>
        <w:b/>
        <w:rFonts w:cs="Times New Roman"/>
        <w:color w:val="auto"/>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5">
    <w:lvl w:ilvl="0">
      <w:start w:val="1"/>
      <w:numFmt w:val="lowerLetter"/>
      <w:lvlText w:val="%1)"/>
      <w:lvlJc w:val="left"/>
      <w:pPr>
        <w:tabs>
          <w:tab w:val="num" w:pos="720"/>
        </w:tabs>
        <w:ind w:left="720" w:hanging="360"/>
      </w:pPr>
      <w:rPr/>
    </w:lvl>
    <w:lvl w:ilvl="1">
      <w:start w:val="1"/>
      <w:numFmt w:val="lowerLetter"/>
      <w:lvlText w:val="%2)"/>
      <w:lvlJc w:val="left"/>
      <w:pPr>
        <w:tabs>
          <w:tab w:val="num" w:pos="1440"/>
        </w:tabs>
        <w:ind w:left="1440" w:hanging="360"/>
      </w:pPr>
      <w:rPr/>
    </w:lvl>
    <w:lvl w:ilvl="2">
      <w:start w:val="1"/>
      <w:numFmt w:val="decimal"/>
      <w:lvlText w:val="%3."/>
      <w:lvlJc w:val="left"/>
      <w:pPr>
        <w:tabs>
          <w:tab w:val="num" w:pos="2340"/>
        </w:tabs>
        <w:ind w:left="2340" w:hanging="360"/>
      </w:pPr>
      <w:rPr>
        <w:rFonts w:cs="Times New Roman"/>
      </w:rPr>
    </w:lvl>
    <w:lvl w:ilvl="3">
      <w:start w:val="1"/>
      <w:numFmt w:val="decimal"/>
      <w:lvlText w:val="%4."/>
      <w:lvlJc w:val="left"/>
      <w:pPr>
        <w:tabs>
          <w:tab w:val="num" w:pos="2880"/>
        </w:tabs>
        <w:ind w:left="2880" w:hanging="360"/>
      </w:pPr>
      <w:rPr>
        <w:rFonts w:eastAsia="Times New Roman" w:cs="Times New Roman"/>
      </w:rPr>
    </w:lvl>
    <w:lvl w:ilvl="4">
      <w:start w:val="1"/>
      <w:numFmt w:val="decimal"/>
      <w:lvlText w:val="%5)"/>
      <w:lvlJc w:val="left"/>
      <w:pPr>
        <w:tabs>
          <w:tab w:val="num" w:pos="3600"/>
        </w:tabs>
        <w:ind w:left="3600" w:hanging="360"/>
      </w:pPr>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360"/>
        </w:tabs>
        <w:ind w:left="360" w:hanging="360"/>
      </w:pPr>
      <w:rPr>
        <w:b/>
        <w:rFonts w:cs="Times New Roman"/>
        <w:color w:val="auto"/>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6">
    <w:lvl w:ilvl="0">
      <w:start w:val="1"/>
      <w:numFmt w:val="decimal"/>
      <w:lvlText w:val="%1."/>
      <w:lvlJc w:val="left"/>
      <w:pPr>
        <w:tabs>
          <w:tab w:val="num" w:pos="576"/>
        </w:tabs>
        <w:ind w:left="576" w:hanging="360"/>
      </w:pPr>
      <w:rPr>
        <w:sz w:val="22"/>
        <w:b w:val="false"/>
        <w:szCs w:val="22"/>
        <w:bCs/>
        <w:rFonts w:ascii="Cambria" w:hAnsi="Cambria"/>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7">
    <w:lvl w:ilvl="0">
      <w:start w:val="1"/>
      <w:numFmt w:val="decimal"/>
      <w:lvlText w:val="%1."/>
      <w:lvlJc w:val="left"/>
      <w:pPr>
        <w:tabs>
          <w:tab w:val="num" w:pos="283"/>
        </w:tabs>
        <w:ind w:left="283" w:hanging="283"/>
      </w:pPr>
      <w:rPr>
        <w:b w:val="false"/>
        <w:bCs w:val="false"/>
      </w:rPr>
    </w:lvl>
    <w:lvl w:ilvl="1">
      <w:start w:val="1"/>
      <w:numFmt w:val="lowerLetter"/>
      <w:lvlText w:val="%2)"/>
      <w:lvlJc w:val="left"/>
      <w:pPr>
        <w:tabs>
          <w:tab w:val="num" w:pos="644"/>
        </w:tabs>
        <w:ind w:left="644" w:hanging="360"/>
      </w:pPr>
      <w:rPr>
        <w:sz w:val="22"/>
        <w:b w:val="false"/>
        <w:szCs w:val="22"/>
        <w:bCs w:val="false"/>
        <w:rFonts w:ascii="Cambria" w:hAnsi="Cambria"/>
      </w:rPr>
    </w:lvl>
    <w:lvl w:ilvl="2">
      <w:start w:val="1"/>
      <w:numFmt w:val="bullet"/>
      <w:lvlText w:val="·"/>
      <w:lvlJc w:val="left"/>
      <w:pPr>
        <w:tabs>
          <w:tab w:val="num" w:pos="850"/>
        </w:tabs>
        <w:ind w:left="850" w:hanging="283"/>
      </w:pPr>
      <w:rPr>
        <w:rFonts w:ascii="Symbol" w:hAnsi="Symbol" w:cs="Symbol" w:hint="default"/>
      </w:rPr>
    </w:lvl>
    <w:lvl w:ilvl="3">
      <w:start w:val="1"/>
      <w:numFmt w:val="bullet"/>
      <w:lvlText w:val="·"/>
      <w:lvlJc w:val="left"/>
      <w:pPr>
        <w:tabs>
          <w:tab w:val="num" w:pos="1134"/>
        </w:tabs>
        <w:ind w:left="1134" w:hanging="283"/>
      </w:pPr>
      <w:rPr>
        <w:rFonts w:ascii="Symbol" w:hAnsi="Symbol" w:cs="Symbol" w:hint="default"/>
      </w:rPr>
    </w:lvl>
    <w:lvl w:ilvl="4">
      <w:start w:val="1"/>
      <w:numFmt w:val="bullet"/>
      <w:lvlText w:val="·"/>
      <w:lvlJc w:val="left"/>
      <w:pPr>
        <w:tabs>
          <w:tab w:val="num" w:pos="1417"/>
        </w:tabs>
        <w:ind w:left="1417" w:hanging="283"/>
      </w:pPr>
      <w:rPr>
        <w:rFonts w:ascii="Symbol" w:hAnsi="Symbol" w:cs="Symbol" w:hint="default"/>
      </w:rPr>
    </w:lvl>
    <w:lvl w:ilvl="5">
      <w:start w:val="1"/>
      <w:numFmt w:val="bullet"/>
      <w:lvlText w:val="·"/>
      <w:lvlJc w:val="left"/>
      <w:pPr>
        <w:tabs>
          <w:tab w:val="num" w:pos="1701"/>
        </w:tabs>
        <w:ind w:left="1701" w:hanging="283"/>
      </w:pPr>
      <w:rPr>
        <w:rFonts w:ascii="Symbol" w:hAnsi="Symbol" w:cs="Symbol" w:hint="default"/>
      </w:rPr>
    </w:lvl>
    <w:lvl w:ilvl="6">
      <w:start w:val="1"/>
      <w:numFmt w:val="bullet"/>
      <w:lvlText w:val="·"/>
      <w:lvlJc w:val="left"/>
      <w:pPr>
        <w:tabs>
          <w:tab w:val="num" w:pos="1984"/>
        </w:tabs>
        <w:ind w:left="1984" w:hanging="283"/>
      </w:pPr>
      <w:rPr>
        <w:rFonts w:ascii="Symbol" w:hAnsi="Symbol" w:cs="Symbol" w:hint="default"/>
      </w:rPr>
    </w:lvl>
    <w:lvl w:ilvl="7">
      <w:start w:val="1"/>
      <w:numFmt w:val="bullet"/>
      <w:lvlText w:val="·"/>
      <w:lvlJc w:val="left"/>
      <w:pPr>
        <w:tabs>
          <w:tab w:val="num" w:pos="2268"/>
        </w:tabs>
        <w:ind w:left="2268" w:hanging="283"/>
      </w:pPr>
      <w:rPr>
        <w:rFonts w:ascii="Symbol" w:hAnsi="Symbol" w:cs="Symbol" w:hint="default"/>
      </w:rPr>
    </w:lvl>
    <w:lvl w:ilvl="8">
      <w:start w:val="1"/>
      <w:numFmt w:val="bullet"/>
      <w:lvlText w:val="·"/>
      <w:lvlJc w:val="left"/>
      <w:pPr>
        <w:tabs>
          <w:tab w:val="num" w:pos="2551"/>
        </w:tabs>
        <w:ind w:left="2551" w:hanging="283"/>
      </w:pPr>
      <w:rPr>
        <w:rFonts w:ascii="Symbol" w:hAnsi="Symbol" w:cs="Symbol" w:hint="default"/>
      </w:rPr>
    </w:lvl>
  </w:abstractNum>
  <w:abstractNum w:abstractNumId="18">
    <w:lvl w:ilvl="0">
      <w:start w:val="1"/>
      <w:numFmt w:val="decimal"/>
      <w:lvlText w:val="%1."/>
      <w:lvlJc w:val="left"/>
      <w:pPr>
        <w:tabs>
          <w:tab w:val="num" w:pos="0"/>
        </w:tabs>
        <w:ind w:left="360" w:hanging="360"/>
      </w:pPr>
      <w:rPr>
        <w:sz w:val="22"/>
        <w:b/>
        <w:szCs w:val="22"/>
        <w:bCs w:val="false"/>
        <w:rFonts w:ascii="Cambria" w:hAnsi="Cambria"/>
      </w:rPr>
    </w:lvl>
    <w:lvl w:ilvl="1">
      <w:start w:val="1"/>
      <w:numFmt w:val="decimal"/>
      <w:lvlText w:val="%1.%2."/>
      <w:lvlJc w:val="left"/>
      <w:pPr>
        <w:tabs>
          <w:tab w:val="num" w:pos="0"/>
        </w:tabs>
        <w:ind w:left="792" w:hanging="432"/>
      </w:pPr>
      <w:rPr>
        <w:sz w:val="22"/>
        <w:b/>
        <w:bCs/>
        <w:rFonts w:ascii="Cambria" w:hAnsi="Cambria" w:cs="Arial"/>
      </w:rPr>
    </w:lvl>
    <w:lvl w:ilvl="2">
      <w:start w:val="1"/>
      <w:numFmt w:val="decimal"/>
      <w:lvlText w:val="%1.%2.%3."/>
      <w:lvlJc w:val="left"/>
      <w:pPr>
        <w:tabs>
          <w:tab w:val="num" w:pos="0"/>
        </w:tabs>
        <w:ind w:left="930" w:hanging="504"/>
      </w:pPr>
      <w:rPr>
        <w:dstrike w:val="false"/>
        <w:strike w:val="false"/>
        <w:sz w:val="22"/>
        <w:b w:val="false"/>
        <w:szCs w:val="22"/>
        <w:bCs w:val="false"/>
        <w:rFonts w:ascii="Cambria" w:hAnsi="Cambria" w:cs="Arial"/>
      </w:rPr>
    </w:lvl>
    <w:lvl w:ilvl="3">
      <w:start w:val="1"/>
      <w:numFmt w:val="decimal"/>
      <w:lvlText w:val="%1.%2.%3.%4."/>
      <w:lvlJc w:val="left"/>
      <w:pPr>
        <w:tabs>
          <w:tab w:val="num" w:pos="0"/>
        </w:tabs>
        <w:ind w:left="1728" w:hanging="648"/>
      </w:pPr>
      <w:rPr>
        <w:b w:val="false"/>
        <w:bCs/>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9">
    <w:lvl w:ilvl="0">
      <w:start w:val="1"/>
      <w:numFmt w:val="decimal"/>
      <w:lvlText w:val="%1."/>
      <w:lvlJc w:val="left"/>
      <w:pPr>
        <w:tabs>
          <w:tab w:val="num" w:pos="360"/>
        </w:tabs>
        <w:ind w:left="360" w:hanging="360"/>
      </w:pPr>
      <w:rPr>
        <w:sz w:val="22"/>
        <w:b/>
        <w:bCs w:val="false"/>
        <w:rFonts w:ascii="Cambria" w:hAnsi="Cambria"/>
      </w:rPr>
    </w:lvl>
    <w:lvl w:ilvl="1">
      <w:start w:val="1"/>
      <w:numFmt w:val="decimal"/>
      <w:lvlText w:val="%1.%2."/>
      <w:lvlJc w:val="left"/>
      <w:pPr>
        <w:tabs>
          <w:tab w:val="num" w:pos="792"/>
        </w:tabs>
        <w:ind w:left="792" w:hanging="432"/>
      </w:pPr>
      <w:rPr>
        <w:b w:val="false"/>
      </w:rPr>
    </w:lvl>
    <w:lvl w:ilvl="2">
      <w:start w:val="1"/>
      <w:numFmt w:val="decimal"/>
      <w:lvlText w:val="%1.%2.%3."/>
      <w:lvlJc w:val="left"/>
      <w:pPr>
        <w:tabs>
          <w:tab w:val="num" w:pos="1224"/>
        </w:tabs>
        <w:ind w:left="1224" w:hanging="504"/>
      </w:pPr>
      <w:rPr>
        <w:sz w:val="22"/>
        <w:szCs w:val="22"/>
        <w:rFonts w:cs="Tahoma"/>
      </w:rPr>
    </w:lvl>
    <w:lvl w:ilvl="3">
      <w:start w:val="1"/>
      <w:numFmt w:val="decimal"/>
      <w:lvlText w:val="%1.%2.%3.%4."/>
      <w:lvlJc w:val="left"/>
      <w:pPr>
        <w:tabs>
          <w:tab w:val="num" w:pos="1728"/>
        </w:tabs>
        <w:ind w:left="1728" w:hanging="648"/>
      </w:pPr>
      <w:rPr/>
    </w:lvl>
    <w:lvl w:ilvl="4">
      <w:start w:val="1"/>
      <w:numFmt w:val="decimal"/>
      <w:lvlText w:val="%1.%2.%3.%4.%5."/>
      <w:lvlJc w:val="left"/>
      <w:pPr>
        <w:tabs>
          <w:tab w:val="num" w:pos="2232"/>
        </w:tabs>
        <w:ind w:left="2232" w:hanging="792"/>
      </w:pPr>
      <w:rPr/>
    </w:lvl>
    <w:lvl w:ilvl="5">
      <w:start w:val="1"/>
      <w:numFmt w:val="decimal"/>
      <w:lvlText w:val="%1.%2.%3.%4.%5.%6."/>
      <w:lvlJc w:val="left"/>
      <w:pPr>
        <w:tabs>
          <w:tab w:val="num" w:pos="2736"/>
        </w:tabs>
        <w:ind w:left="2736" w:hanging="936"/>
      </w:pPr>
      <w:rPr/>
    </w:lvl>
    <w:lvl w:ilvl="6">
      <w:start w:val="1"/>
      <w:numFmt w:val="decimal"/>
      <w:lvlText w:val="%1.%2.%3.%4.%5.%6.%7."/>
      <w:lvlJc w:val="left"/>
      <w:pPr>
        <w:tabs>
          <w:tab w:val="num" w:pos="3240"/>
        </w:tabs>
        <w:ind w:left="3240" w:hanging="1080"/>
      </w:pPr>
      <w:rPr/>
    </w:lvl>
    <w:lvl w:ilvl="7">
      <w:start w:val="1"/>
      <w:numFmt w:val="decimal"/>
      <w:lvlText w:val="%1.%2.%3.%4.%5.%6.%7.%8."/>
      <w:lvlJc w:val="left"/>
      <w:pPr>
        <w:tabs>
          <w:tab w:val="num" w:pos="3744"/>
        </w:tabs>
        <w:ind w:left="3744" w:hanging="1224"/>
      </w:pPr>
      <w:rPr/>
    </w:lvl>
    <w:lvl w:ilvl="8">
      <w:start w:val="1"/>
      <w:numFmt w:val="decimal"/>
      <w:lvlText w:val="%1.%2.%3.%4.%5.%6.%7.%8.%9."/>
      <w:lvlJc w:val="left"/>
      <w:pPr>
        <w:tabs>
          <w:tab w:val="num" w:pos="4320"/>
        </w:tabs>
        <w:ind w:left="4320" w:hanging="1440"/>
      </w:pPr>
      <w:rPr/>
    </w:lvl>
  </w:abstractNum>
  <w:abstractNum w:abstractNumId="20">
    <w:lvl w:ilvl="0">
      <w:start w:val="1"/>
      <w:numFmt w:val="none"/>
      <w:suff w:val="nothing"/>
      <w:lvlText w:val=""/>
      <w:lvlJc w:val="left"/>
      <w:pPr>
        <w:tabs>
          <w:tab w:val="num" w:pos="0"/>
        </w:tabs>
        <w:ind w:left="432" w:hanging="432"/>
      </w:pPr>
      <w:rPr/>
    </w:lvl>
    <w:lvl w:ilvl="1">
      <w:start w:val="1"/>
      <w:numFmt w:val="none"/>
      <w:suff w:val="nothing"/>
      <w:lvlText w:val=""/>
      <w:lvlJc w:val="left"/>
      <w:pPr>
        <w:tabs>
          <w:tab w:val="num" w:pos="0"/>
        </w:tabs>
        <w:ind w:left="576" w:hanging="576"/>
      </w:pPr>
      <w:rPr/>
    </w:lvl>
    <w:lvl w:ilvl="2">
      <w:start w:val="1"/>
      <w:numFmt w:val="none"/>
      <w:suff w:val="nothing"/>
      <w:lvlText w:val=""/>
      <w:lvlJc w:val="left"/>
      <w:pPr>
        <w:tabs>
          <w:tab w:val="num" w:pos="0"/>
        </w:tabs>
        <w:ind w:left="720" w:hanging="720"/>
      </w:pPr>
      <w:rPr/>
    </w:lvl>
    <w:lvl w:ilvl="3">
      <w:start w:val="1"/>
      <w:numFmt w:val="none"/>
      <w:suff w:val="nothing"/>
      <w:lvlText w:val=""/>
      <w:lvlJc w:val="left"/>
      <w:pPr>
        <w:tabs>
          <w:tab w:val="num" w:pos="0"/>
        </w:tabs>
        <w:ind w:left="864" w:hanging="864"/>
      </w:pPr>
      <w:rPr/>
    </w:lvl>
    <w:lvl w:ilvl="4">
      <w:start w:val="1"/>
      <w:numFmt w:val="none"/>
      <w:suff w:val="nothing"/>
      <w:lvlText w:val=""/>
      <w:lvlJc w:val="left"/>
      <w:pPr>
        <w:tabs>
          <w:tab w:val="num" w:pos="0"/>
        </w:tabs>
        <w:ind w:left="1008" w:hanging="1008"/>
      </w:pPr>
      <w:rPr/>
    </w:lvl>
    <w:lvl w:ilvl="5">
      <w:start w:val="1"/>
      <w:numFmt w:val="none"/>
      <w:suff w:val="nothing"/>
      <w:lvlText w:val=""/>
      <w:lvlJc w:val="left"/>
      <w:pPr>
        <w:tabs>
          <w:tab w:val="num" w:pos="0"/>
        </w:tabs>
        <w:ind w:left="1152" w:hanging="1152"/>
      </w:pPr>
      <w:rPr/>
    </w:lvl>
    <w:lvl w:ilvl="6">
      <w:start w:val="1"/>
      <w:numFmt w:val="none"/>
      <w:suff w:val="nothing"/>
      <w:lvlText w:val=""/>
      <w:lvlJc w:val="left"/>
      <w:pPr>
        <w:tabs>
          <w:tab w:val="num" w:pos="0"/>
        </w:tabs>
        <w:ind w:left="1296" w:hanging="1296"/>
      </w:pPr>
      <w:rPr/>
    </w:lvl>
    <w:lvl w:ilvl="7">
      <w:start w:val="1"/>
      <w:numFmt w:val="none"/>
      <w:suff w:val="nothing"/>
      <w:lvlText w:val=""/>
      <w:lvlJc w:val="left"/>
      <w:pPr>
        <w:tabs>
          <w:tab w:val="num" w:pos="0"/>
        </w:tabs>
        <w:ind w:left="1440" w:hanging="1440"/>
      </w:pPr>
      <w:rPr/>
    </w:lvl>
    <w:lvl w:ilvl="8">
      <w:start w:val="1"/>
      <w:numFmt w:val="none"/>
      <w:suff w:val="nothing"/>
      <w:lvlText w:val=""/>
      <w:lvlJc w:val="left"/>
      <w:pPr>
        <w:tabs>
          <w:tab w:val="num" w:pos="0"/>
        </w:tabs>
        <w:ind w:left="1584" w:hanging="1584"/>
      </w:pPr>
      <w:rPr/>
    </w:lvl>
  </w:abstractNum>
  <w:abstractNum w:abstractNumId="21">
    <w:lvl w:ilvl="0">
      <w:start w:val="2"/>
      <w:numFmt w:val="decimal"/>
      <w:lvlText w:val="%1"/>
      <w:lvlJc w:val="left"/>
      <w:pPr>
        <w:tabs>
          <w:tab w:val="num" w:pos="0"/>
        </w:tabs>
        <w:ind w:left="360" w:hanging="360"/>
      </w:pPr>
      <w:rPr/>
    </w:lvl>
    <w:lvl w:ilvl="1">
      <w:start w:val="1"/>
      <w:numFmt w:val="decimal"/>
      <w:lvlText w:val="%1.%2"/>
      <w:lvlJc w:val="left"/>
      <w:pPr>
        <w:tabs>
          <w:tab w:val="num" w:pos="0"/>
        </w:tabs>
        <w:ind w:left="1069" w:hanging="360"/>
      </w:pPr>
      <w:rPr>
        <w:sz w:val="22"/>
        <w:b w:val="false"/>
        <w:bCs w:val="false"/>
        <w:rFonts w:ascii="Cambria" w:hAnsi="Cambria"/>
      </w:rPr>
    </w:lvl>
    <w:lvl w:ilvl="2">
      <w:start w:val="1"/>
      <w:numFmt w:val="decimal"/>
      <w:lvlText w:val="%1.%2.%3"/>
      <w:lvlJc w:val="left"/>
      <w:pPr>
        <w:tabs>
          <w:tab w:val="num" w:pos="0"/>
        </w:tabs>
        <w:ind w:left="2138" w:hanging="720"/>
      </w:pPr>
      <w:rPr/>
    </w:lvl>
    <w:lvl w:ilvl="3">
      <w:start w:val="1"/>
      <w:numFmt w:val="decimal"/>
      <w:lvlText w:val="%1.%2.%3.%4"/>
      <w:lvlJc w:val="left"/>
      <w:pPr>
        <w:tabs>
          <w:tab w:val="num" w:pos="0"/>
        </w:tabs>
        <w:ind w:left="3207" w:hanging="1080"/>
      </w:pPr>
      <w:rPr/>
    </w:lvl>
    <w:lvl w:ilvl="4">
      <w:start w:val="1"/>
      <w:numFmt w:val="decimal"/>
      <w:lvlText w:val="%1.%2.%3.%4.%5"/>
      <w:lvlJc w:val="left"/>
      <w:pPr>
        <w:tabs>
          <w:tab w:val="num" w:pos="0"/>
        </w:tabs>
        <w:ind w:left="3916" w:hanging="1080"/>
      </w:pPr>
      <w:rPr/>
    </w:lvl>
    <w:lvl w:ilvl="5">
      <w:start w:val="1"/>
      <w:numFmt w:val="decimal"/>
      <w:lvlText w:val="%1.%2.%3.%4.%5.%6"/>
      <w:lvlJc w:val="left"/>
      <w:pPr>
        <w:tabs>
          <w:tab w:val="num" w:pos="0"/>
        </w:tabs>
        <w:ind w:left="4985" w:hanging="1440"/>
      </w:pPr>
      <w:rPr/>
    </w:lvl>
    <w:lvl w:ilvl="6">
      <w:start w:val="1"/>
      <w:numFmt w:val="decimal"/>
      <w:lvlText w:val="%1.%2.%3.%4.%5.%6.%7"/>
      <w:lvlJc w:val="left"/>
      <w:pPr>
        <w:tabs>
          <w:tab w:val="num" w:pos="0"/>
        </w:tabs>
        <w:ind w:left="5694" w:hanging="1440"/>
      </w:pPr>
      <w:rPr/>
    </w:lvl>
    <w:lvl w:ilvl="7">
      <w:start w:val="1"/>
      <w:numFmt w:val="decimal"/>
      <w:lvlText w:val="%1.%2.%3.%4.%5.%6.%7.%8"/>
      <w:lvlJc w:val="left"/>
      <w:pPr>
        <w:tabs>
          <w:tab w:val="num" w:pos="0"/>
        </w:tabs>
        <w:ind w:left="6763" w:hanging="1800"/>
      </w:pPr>
      <w:rPr/>
    </w:lvl>
    <w:lvl w:ilvl="8">
      <w:start w:val="1"/>
      <w:numFmt w:val="decimal"/>
      <w:lvlText w:val="%1.%2.%3.%4.%5.%6.%7.%8.%9"/>
      <w:lvlJc w:val="left"/>
      <w:pPr>
        <w:tabs>
          <w:tab w:val="num" w:pos="0"/>
        </w:tabs>
        <w:ind w:left="7472" w:hanging="1800"/>
      </w:pPr>
      <w:rPr/>
    </w:lvl>
  </w:abstractNum>
  <w:abstractNum w:abstractNumId="22">
    <w:lvl w:ilvl="0">
      <w:start w:val="1"/>
      <w:numFmt w:val="decimal"/>
      <w:lvlText w:val="%1."/>
      <w:lvlJc w:val="left"/>
      <w:pPr>
        <w:tabs>
          <w:tab w:val="num" w:pos="0"/>
        </w:tabs>
        <w:ind w:left="720" w:hanging="360"/>
      </w:pPr>
      <w:rPr>
        <w:sz w:val="22"/>
        <w:szCs w:val="24"/>
        <w:rFonts w:ascii="Cambria" w:hAnsi="Cambria" w:cs="Cambria"/>
      </w:rPr>
    </w:lvl>
    <w:lvl w:ilvl="1">
      <w:start w:val="1"/>
      <w:numFmt w:val="decimal"/>
      <w:lvlText w:val="%2)"/>
      <w:lvlJc w:val="left"/>
      <w:pPr>
        <w:tabs>
          <w:tab w:val="num" w:pos="0"/>
        </w:tabs>
        <w:ind w:left="1080" w:hanging="360"/>
      </w:pPr>
      <w:rPr>
        <w:sz w:val="22"/>
        <w:b w:val="false"/>
        <w:szCs w:val="22"/>
        <w:bCs w:val="false"/>
        <w:rFonts w:ascii="Cambria" w:hAnsi="Cambria" w:cs="Cambria"/>
        <w:color w:val="000000"/>
      </w:rPr>
    </w:lvl>
    <w:lvl w:ilvl="2">
      <w:start w:val="1"/>
      <w:numFmt w:val="decimal"/>
      <w:lvlText w:val="%3."/>
      <w:lvlJc w:val="left"/>
      <w:pPr>
        <w:tabs>
          <w:tab w:val="num" w:pos="0"/>
        </w:tabs>
        <w:ind w:left="1440" w:hanging="360"/>
      </w:pPr>
      <w:rPr/>
    </w:lvl>
    <w:lvl w:ilvl="3">
      <w:start w:val="1"/>
      <w:numFmt w:val="decimal"/>
      <w:lvlText w:val="%4."/>
      <w:lvlJc w:val="left"/>
      <w:pPr>
        <w:tabs>
          <w:tab w:val="num" w:pos="0"/>
        </w:tabs>
        <w:ind w:left="1800" w:hanging="360"/>
      </w:pPr>
      <w:rPr/>
    </w:lvl>
    <w:lvl w:ilvl="4">
      <w:start w:val="1"/>
      <w:numFmt w:val="decimal"/>
      <w:lvlText w:val="%5."/>
      <w:lvlJc w:val="left"/>
      <w:pPr>
        <w:tabs>
          <w:tab w:val="num" w:pos="0"/>
        </w:tabs>
        <w:ind w:left="2160" w:hanging="360"/>
      </w:pPr>
      <w:rPr/>
    </w:lvl>
    <w:lvl w:ilvl="5">
      <w:start w:val="1"/>
      <w:numFmt w:val="decimal"/>
      <w:lvlText w:val="%6."/>
      <w:lvlJc w:val="left"/>
      <w:pPr>
        <w:tabs>
          <w:tab w:val="num" w:pos="0"/>
        </w:tabs>
        <w:ind w:left="2520" w:hanging="360"/>
      </w:pPr>
      <w:rPr/>
    </w:lvl>
    <w:lvl w:ilvl="6">
      <w:start w:val="1"/>
      <w:numFmt w:val="decimal"/>
      <w:lvlText w:val="%7."/>
      <w:lvlJc w:val="left"/>
      <w:pPr>
        <w:tabs>
          <w:tab w:val="num" w:pos="0"/>
        </w:tabs>
        <w:ind w:left="2880" w:hanging="360"/>
      </w:pPr>
      <w:rPr/>
    </w:lvl>
    <w:lvl w:ilvl="7">
      <w:start w:val="1"/>
      <w:numFmt w:val="decimal"/>
      <w:lvlText w:val="%8."/>
      <w:lvlJc w:val="left"/>
      <w:pPr>
        <w:tabs>
          <w:tab w:val="num" w:pos="0"/>
        </w:tabs>
        <w:ind w:left="3240" w:hanging="360"/>
      </w:pPr>
      <w:rPr/>
    </w:lvl>
    <w:lvl w:ilvl="8">
      <w:start w:val="1"/>
      <w:numFmt w:val="decimal"/>
      <w:lvlText w:val="%9."/>
      <w:lvlJc w:val="left"/>
      <w:pPr>
        <w:tabs>
          <w:tab w:val="num" w:pos="0"/>
        </w:tabs>
        <w:ind w:left="3600" w:hanging="360"/>
      </w:pPr>
      <w:rPr/>
    </w:lvl>
  </w:abstractNum>
  <w:abstractNum w:abstractNumId="23">
    <w:lvl w:ilvl="0">
      <w:start w:val="1"/>
      <w:numFmt w:val="none"/>
      <w:suff w:val="nothing"/>
      <w:lvlText w:val=""/>
      <w:lvlJc w:val="left"/>
      <w:pPr>
        <w:tabs>
          <w:tab w:val="num" w:pos="0"/>
        </w:tabs>
        <w:ind w:left="432" w:hanging="432"/>
      </w:pPr>
      <w:rPr/>
    </w:lvl>
    <w:lvl w:ilvl="1">
      <w:start w:val="1"/>
      <w:numFmt w:val="none"/>
      <w:suff w:val="nothing"/>
      <w:lvlText w:val=""/>
      <w:lvlJc w:val="left"/>
      <w:pPr>
        <w:tabs>
          <w:tab w:val="num" w:pos="0"/>
        </w:tabs>
        <w:ind w:left="576" w:hanging="576"/>
      </w:pPr>
      <w:rPr/>
    </w:lvl>
    <w:lvl w:ilvl="2">
      <w:start w:val="1"/>
      <w:numFmt w:val="none"/>
      <w:suff w:val="nothing"/>
      <w:lvlText w:val=""/>
      <w:lvlJc w:val="left"/>
      <w:pPr>
        <w:tabs>
          <w:tab w:val="num" w:pos="0"/>
        </w:tabs>
        <w:ind w:left="720" w:hanging="720"/>
      </w:pPr>
      <w:rPr/>
    </w:lvl>
    <w:lvl w:ilvl="3">
      <w:start w:val="1"/>
      <w:numFmt w:val="none"/>
      <w:suff w:val="nothing"/>
      <w:lvlText w:val=""/>
      <w:lvlJc w:val="left"/>
      <w:pPr>
        <w:tabs>
          <w:tab w:val="num" w:pos="0"/>
        </w:tabs>
        <w:ind w:left="864" w:hanging="864"/>
      </w:pPr>
      <w:rPr/>
    </w:lvl>
    <w:lvl w:ilvl="4">
      <w:start w:val="1"/>
      <w:numFmt w:val="none"/>
      <w:suff w:val="nothing"/>
      <w:lvlText w:val=""/>
      <w:lvlJc w:val="left"/>
      <w:pPr>
        <w:tabs>
          <w:tab w:val="num" w:pos="0"/>
        </w:tabs>
        <w:ind w:left="1008" w:hanging="1008"/>
      </w:pPr>
      <w:rPr/>
    </w:lvl>
    <w:lvl w:ilvl="5">
      <w:start w:val="1"/>
      <w:numFmt w:val="none"/>
      <w:suff w:val="nothing"/>
      <w:lvlText w:val=""/>
      <w:lvlJc w:val="left"/>
      <w:pPr>
        <w:tabs>
          <w:tab w:val="num" w:pos="0"/>
        </w:tabs>
        <w:ind w:left="1152" w:hanging="1152"/>
      </w:pPr>
      <w:rPr/>
    </w:lvl>
    <w:lvl w:ilvl="6">
      <w:start w:val="1"/>
      <w:numFmt w:val="none"/>
      <w:suff w:val="nothing"/>
      <w:lvlText w:val=""/>
      <w:lvlJc w:val="left"/>
      <w:pPr>
        <w:tabs>
          <w:tab w:val="num" w:pos="0"/>
        </w:tabs>
        <w:ind w:left="1296" w:hanging="1296"/>
      </w:pPr>
      <w:rPr/>
    </w:lvl>
    <w:lvl w:ilvl="7">
      <w:start w:val="1"/>
      <w:numFmt w:val="none"/>
      <w:suff w:val="nothing"/>
      <w:lvlText w:val=""/>
      <w:lvlJc w:val="left"/>
      <w:pPr>
        <w:tabs>
          <w:tab w:val="num" w:pos="0"/>
        </w:tabs>
        <w:ind w:left="1440" w:hanging="1440"/>
      </w:pPr>
      <w:rPr/>
    </w:lvl>
    <w:lvl w:ilvl="8">
      <w:start w:val="1"/>
      <w:numFmt w:val="none"/>
      <w:suff w:val="nothing"/>
      <w:lvlText w:val=""/>
      <w:lvlJc w:val="left"/>
      <w:pPr>
        <w:tabs>
          <w:tab w:val="num" w:pos="0"/>
        </w:tabs>
        <w:ind w:left="1584" w:hanging="1584"/>
      </w:pPr>
      <w:rPr/>
    </w:lvl>
  </w:abstractNum>
  <w:abstractNum w:abstractNumId="24">
    <w:lvl w:ilvl="0">
      <w:start w:val="1"/>
      <w:numFmt w:val="lowerLetter"/>
      <w:lvlText w:val="%1)"/>
      <w:lvlJc w:val="left"/>
      <w:pPr>
        <w:tabs>
          <w:tab w:val="num" w:pos="0"/>
        </w:tabs>
        <w:ind w:left="1211" w:hanging="360"/>
      </w:pPr>
      <w:rPr/>
    </w:lvl>
    <w:lvl w:ilvl="1">
      <w:start w:val="1"/>
      <w:numFmt w:val="lowerLetter"/>
      <w:lvlText w:val="%2."/>
      <w:lvlJc w:val="left"/>
      <w:pPr>
        <w:tabs>
          <w:tab w:val="num" w:pos="0"/>
        </w:tabs>
        <w:ind w:left="1931" w:hanging="360"/>
      </w:pPr>
      <w:rPr/>
    </w:lvl>
    <w:lvl w:ilvl="2">
      <w:start w:val="1"/>
      <w:numFmt w:val="lowerRoman"/>
      <w:lvlText w:val="%3."/>
      <w:lvlJc w:val="right"/>
      <w:pPr>
        <w:tabs>
          <w:tab w:val="num" w:pos="0"/>
        </w:tabs>
        <w:ind w:left="2651" w:hanging="180"/>
      </w:pPr>
      <w:rPr/>
    </w:lvl>
    <w:lvl w:ilvl="3">
      <w:start w:val="1"/>
      <w:numFmt w:val="decimal"/>
      <w:lvlText w:val="%4."/>
      <w:lvlJc w:val="left"/>
      <w:pPr>
        <w:tabs>
          <w:tab w:val="num" w:pos="0"/>
        </w:tabs>
        <w:ind w:left="3371" w:hanging="360"/>
      </w:pPr>
      <w:rPr/>
    </w:lvl>
    <w:lvl w:ilvl="4">
      <w:start w:val="1"/>
      <w:numFmt w:val="lowerLetter"/>
      <w:lvlText w:val="%5."/>
      <w:lvlJc w:val="left"/>
      <w:pPr>
        <w:tabs>
          <w:tab w:val="num" w:pos="0"/>
        </w:tabs>
        <w:ind w:left="4091" w:hanging="360"/>
      </w:pPr>
      <w:rPr/>
    </w:lvl>
    <w:lvl w:ilvl="5">
      <w:start w:val="1"/>
      <w:numFmt w:val="lowerRoman"/>
      <w:lvlText w:val="%6."/>
      <w:lvlJc w:val="right"/>
      <w:pPr>
        <w:tabs>
          <w:tab w:val="num" w:pos="0"/>
        </w:tabs>
        <w:ind w:left="4811" w:hanging="180"/>
      </w:pPr>
      <w:rPr/>
    </w:lvl>
    <w:lvl w:ilvl="6">
      <w:start w:val="1"/>
      <w:numFmt w:val="decimal"/>
      <w:lvlText w:val="%7."/>
      <w:lvlJc w:val="left"/>
      <w:pPr>
        <w:tabs>
          <w:tab w:val="num" w:pos="0"/>
        </w:tabs>
        <w:ind w:left="5531" w:hanging="360"/>
      </w:pPr>
      <w:rPr/>
    </w:lvl>
    <w:lvl w:ilvl="7">
      <w:start w:val="1"/>
      <w:numFmt w:val="lowerLetter"/>
      <w:lvlText w:val="%8."/>
      <w:lvlJc w:val="left"/>
      <w:pPr>
        <w:tabs>
          <w:tab w:val="num" w:pos="0"/>
        </w:tabs>
        <w:ind w:left="6251" w:hanging="360"/>
      </w:pPr>
      <w:rPr/>
    </w:lvl>
    <w:lvl w:ilvl="8">
      <w:start w:val="1"/>
      <w:numFmt w:val="lowerRoman"/>
      <w:lvlText w:val="%9."/>
      <w:lvlJc w:val="right"/>
      <w:pPr>
        <w:tabs>
          <w:tab w:val="num" w:pos="0"/>
        </w:tabs>
        <w:ind w:left="6971" w:hanging="180"/>
      </w:pPr>
      <w:rPr/>
    </w:lvl>
  </w:abstractNum>
  <w:abstractNum w:abstractNumId="25">
    <w:lvl w:ilvl="0">
      <w:start w:val="1"/>
      <w:numFmt w:val="decimal"/>
      <w:lvlText w:val="%1."/>
      <w:lvlJc w:val="left"/>
      <w:pPr>
        <w:tabs>
          <w:tab w:val="num" w:pos="0"/>
        </w:tabs>
        <w:ind w:left="360" w:hanging="360"/>
      </w:pPr>
      <w:rPr>
        <w:sz w:val="22"/>
        <w:rFonts w:ascii="Cambria" w:hAnsi="Cambria"/>
      </w:rPr>
    </w:lvl>
    <w:lvl w:ilvl="1">
      <w:start w:val="1"/>
      <w:numFmt w:val="decimal"/>
      <w:lvlText w:val="%1.%2."/>
      <w:lvlJc w:val="left"/>
      <w:pPr>
        <w:tabs>
          <w:tab w:val="num" w:pos="0"/>
        </w:tabs>
        <w:ind w:left="792" w:hanging="432"/>
      </w:pPr>
      <w:rPr/>
    </w:lvl>
    <w:lvl w:ilvl="2">
      <w:start w:val="1"/>
      <w:numFmt w:val="decimal"/>
      <w:lvlText w:val="%1.%2.%3."/>
      <w:lvlJc w:val="left"/>
      <w:pPr>
        <w:tabs>
          <w:tab w:val="num" w:pos="0"/>
        </w:tabs>
        <w:ind w:left="1224" w:hanging="504"/>
      </w:pPr>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6">
    <w:lvl w:ilvl="0">
      <w:start w:val="1"/>
      <w:numFmt w:val="upperRoman"/>
      <w:lvlText w:val="%1."/>
      <w:lvlJc w:val="left"/>
      <w:pPr>
        <w:tabs>
          <w:tab w:val="num" w:pos="464"/>
        </w:tabs>
        <w:ind w:left="464" w:hanging="180"/>
      </w:pPr>
      <w:rPr>
        <w:sz w:val="22"/>
        <w:b/>
        <w:szCs w:val="22"/>
        <w:bCs/>
      </w:rPr>
    </w:lvl>
    <w:lvl w:ilvl="1">
      <w:start w:val="1"/>
      <w:numFmt w:val="decimal"/>
      <w:lvlText w:val="%2)"/>
      <w:lvlJc w:val="left"/>
      <w:pPr>
        <w:tabs>
          <w:tab w:val="num" w:pos="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27">
    <w:lvl w:ilvl="0">
      <w:start w:val="1"/>
      <w:numFmt w:val="decimal"/>
      <w:lvlText w:val="%1."/>
      <w:lvlJc w:val="left"/>
      <w:pPr>
        <w:tabs>
          <w:tab w:val="num" w:pos="0"/>
        </w:tabs>
        <w:ind w:left="360" w:hanging="360"/>
      </w:pPr>
      <w:rPr/>
    </w:lvl>
    <w:lvl w:ilvl="1">
      <w:start w:val="1"/>
      <w:numFmt w:val="lowerLetter"/>
      <w:lvlText w:val="%2."/>
      <w:lvlJc w:val="left"/>
      <w:pPr>
        <w:tabs>
          <w:tab w:val="num" w:pos="0"/>
        </w:tabs>
        <w:ind w:left="1080" w:hanging="360"/>
      </w:pPr>
      <w:rPr/>
    </w:lvl>
    <w:lvl w:ilvl="2">
      <w:start w:val="1"/>
      <w:numFmt w:val="lowerRoman"/>
      <w:lvlText w:val="%3."/>
      <w:lvlJc w:val="right"/>
      <w:pPr>
        <w:tabs>
          <w:tab w:val="num" w:pos="0"/>
        </w:tabs>
        <w:ind w:left="1800" w:hanging="180"/>
      </w:pPr>
      <w:rPr/>
    </w:lvl>
    <w:lvl w:ilvl="3">
      <w:start w:val="1"/>
      <w:numFmt w:val="decimal"/>
      <w:lvlText w:val="%4."/>
      <w:lvlJc w:val="left"/>
      <w:pPr>
        <w:tabs>
          <w:tab w:val="num" w:pos="0"/>
        </w:tabs>
        <w:ind w:left="2520" w:hanging="360"/>
      </w:pPr>
      <w:rPr/>
    </w:lvl>
    <w:lvl w:ilvl="4">
      <w:start w:val="1"/>
      <w:numFmt w:val="lowerLetter"/>
      <w:lvlText w:val="%5."/>
      <w:lvlJc w:val="left"/>
      <w:pPr>
        <w:tabs>
          <w:tab w:val="num" w:pos="0"/>
        </w:tabs>
        <w:ind w:left="3240" w:hanging="360"/>
      </w:pPr>
      <w:rPr/>
    </w:lvl>
    <w:lvl w:ilvl="5">
      <w:start w:val="1"/>
      <w:numFmt w:val="lowerRoman"/>
      <w:lvlText w:val="%6."/>
      <w:lvlJc w:val="right"/>
      <w:pPr>
        <w:tabs>
          <w:tab w:val="num" w:pos="0"/>
        </w:tabs>
        <w:ind w:left="3960" w:hanging="180"/>
      </w:pPr>
      <w:rPr/>
    </w:lvl>
    <w:lvl w:ilvl="6">
      <w:start w:val="1"/>
      <w:numFmt w:val="decimal"/>
      <w:lvlText w:val="%7."/>
      <w:lvlJc w:val="left"/>
      <w:pPr>
        <w:tabs>
          <w:tab w:val="num" w:pos="0"/>
        </w:tabs>
        <w:ind w:left="4680" w:hanging="360"/>
      </w:pPr>
      <w:rPr/>
    </w:lvl>
    <w:lvl w:ilvl="7">
      <w:start w:val="1"/>
      <w:numFmt w:val="lowerLetter"/>
      <w:lvlText w:val="%8."/>
      <w:lvlJc w:val="left"/>
      <w:pPr>
        <w:tabs>
          <w:tab w:val="num" w:pos="0"/>
        </w:tabs>
        <w:ind w:left="5400" w:hanging="360"/>
      </w:pPr>
      <w:rPr/>
    </w:lvl>
    <w:lvl w:ilvl="8">
      <w:start w:val="1"/>
      <w:numFmt w:val="lowerRoman"/>
      <w:lvlText w:val="%9."/>
      <w:lvlJc w:val="right"/>
      <w:pPr>
        <w:tabs>
          <w:tab w:val="num" w:pos="0"/>
        </w:tabs>
        <w:ind w:left="6120" w:hanging="180"/>
      </w:pPr>
      <w:rPr/>
    </w:lvl>
  </w:abstractNum>
  <w:abstractNum w:abstractNumId="28">
    <w:lvl w:ilvl="0">
      <w:start w:val="1"/>
      <w:numFmt w:val="lowerLetter"/>
      <w:lvlText w:val="%1)"/>
      <w:lvlJc w:val="left"/>
      <w:pPr>
        <w:tabs>
          <w:tab w:val="num" w:pos="0"/>
        </w:tabs>
        <w:ind w:left="2196" w:hanging="360"/>
      </w:pPr>
      <w:rPr>
        <w:sz w:val="22"/>
        <w:szCs w:val="22"/>
        <w:rFonts w:ascii="Cambria" w:hAnsi="Cambria" w:cs="Arial"/>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29">
    <w:lvl w:ilvl="0">
      <w:start w:val="1"/>
      <w:numFmt w:val="decimal"/>
      <w:lvlText w:val="%1."/>
      <w:lvlJc w:val="left"/>
      <w:pPr>
        <w:tabs>
          <w:tab w:val="num" w:pos="576"/>
        </w:tabs>
        <w:ind w:left="576" w:hanging="360"/>
      </w:pPr>
      <w:rPr>
        <w:sz w:val="22"/>
        <w:b w:val="false"/>
        <w:szCs w:val="22"/>
        <w:bCs w:val="false"/>
        <w:rFonts w:ascii="Cambria" w:hAnsi="Cambria" w:cs="Arial"/>
        <w:color w:val="000000"/>
      </w:rPr>
    </w:lvl>
    <w:lvl w:ilvl="1">
      <w:start w:val="1"/>
      <w:numFmt w:val="lowerLetter"/>
      <w:lvlText w:val="%2."/>
      <w:lvlJc w:val="left"/>
      <w:pPr>
        <w:tabs>
          <w:tab w:val="num" w:pos="1476"/>
        </w:tabs>
        <w:ind w:left="1476" w:hanging="360"/>
      </w:pPr>
      <w:rPr/>
    </w:lvl>
    <w:lvl w:ilvl="2">
      <w:start w:val="1"/>
      <w:numFmt w:val="lowerRoman"/>
      <w:lvlText w:val="%3."/>
      <w:lvlJc w:val="right"/>
      <w:pPr>
        <w:tabs>
          <w:tab w:val="num" w:pos="2196"/>
        </w:tabs>
        <w:ind w:left="2196" w:hanging="180"/>
      </w:pPr>
      <w:rPr/>
    </w:lvl>
    <w:lvl w:ilvl="3">
      <w:start w:val="1"/>
      <w:numFmt w:val="decimal"/>
      <w:lvlText w:val="%4."/>
      <w:lvlJc w:val="left"/>
      <w:pPr>
        <w:tabs>
          <w:tab w:val="num" w:pos="2916"/>
        </w:tabs>
        <w:ind w:left="2916" w:hanging="360"/>
      </w:pPr>
      <w:rPr/>
    </w:lvl>
    <w:lvl w:ilvl="4">
      <w:start w:val="1"/>
      <w:numFmt w:val="lowerLetter"/>
      <w:lvlText w:val="%5."/>
      <w:lvlJc w:val="left"/>
      <w:pPr>
        <w:tabs>
          <w:tab w:val="num" w:pos="3636"/>
        </w:tabs>
        <w:ind w:left="3636" w:hanging="360"/>
      </w:pPr>
      <w:rPr/>
    </w:lvl>
    <w:lvl w:ilvl="5">
      <w:start w:val="1"/>
      <w:numFmt w:val="lowerRoman"/>
      <w:lvlText w:val="%6."/>
      <w:lvlJc w:val="right"/>
      <w:pPr>
        <w:tabs>
          <w:tab w:val="num" w:pos="4356"/>
        </w:tabs>
        <w:ind w:left="4356" w:hanging="180"/>
      </w:pPr>
      <w:rPr/>
    </w:lvl>
    <w:lvl w:ilvl="6">
      <w:start w:val="1"/>
      <w:numFmt w:val="decimal"/>
      <w:lvlText w:val="%7."/>
      <w:lvlJc w:val="left"/>
      <w:pPr>
        <w:tabs>
          <w:tab w:val="num" w:pos="5076"/>
        </w:tabs>
        <w:ind w:left="5076" w:hanging="360"/>
      </w:pPr>
      <w:rPr/>
    </w:lvl>
    <w:lvl w:ilvl="7">
      <w:start w:val="1"/>
      <w:numFmt w:val="lowerLetter"/>
      <w:lvlText w:val="%8."/>
      <w:lvlJc w:val="left"/>
      <w:pPr>
        <w:tabs>
          <w:tab w:val="num" w:pos="5796"/>
        </w:tabs>
        <w:ind w:left="5796" w:hanging="360"/>
      </w:pPr>
      <w:rPr/>
    </w:lvl>
    <w:lvl w:ilvl="8">
      <w:start w:val="1"/>
      <w:numFmt w:val="lowerRoman"/>
      <w:lvlText w:val="%9."/>
      <w:lvlJc w:val="right"/>
      <w:pPr>
        <w:tabs>
          <w:tab w:val="num" w:pos="6516"/>
        </w:tabs>
        <w:ind w:left="6516" w:hanging="180"/>
      </w:pPr>
      <w:rPr/>
    </w:lvl>
  </w:abstractNum>
  <w:abstractNum w:abstractNumId="30">
    <w:lvl w:ilvl="0">
      <w:start w:val="1"/>
      <w:numFmt w:val="lowerLetter"/>
      <w:lvlText w:val="%1)"/>
      <w:lvlJc w:val="left"/>
      <w:pPr>
        <w:tabs>
          <w:tab w:val="num" w:pos="936"/>
        </w:tabs>
        <w:ind w:left="936" w:hanging="360"/>
      </w:pPr>
      <w:rPr>
        <w:sz w:val="22"/>
        <w:b w:val="false"/>
        <w:szCs w:val="22"/>
        <w:bCs w:val="false"/>
        <w:rFonts w:ascii="Cambria" w:hAnsi="Cambria" w:cs="Calibri"/>
        <w:color w:val="000000"/>
      </w:rPr>
    </w:lvl>
    <w:lvl w:ilvl="1">
      <w:start w:val="1"/>
      <w:numFmt w:val="lowerLetter"/>
      <w:lvlText w:val="%2."/>
      <w:lvlJc w:val="left"/>
      <w:pPr>
        <w:tabs>
          <w:tab w:val="num" w:pos="1836"/>
        </w:tabs>
        <w:ind w:left="1836" w:hanging="360"/>
      </w:pPr>
      <w:rPr/>
    </w:lvl>
    <w:lvl w:ilvl="2">
      <w:start w:val="1"/>
      <w:numFmt w:val="lowerRoman"/>
      <w:lvlText w:val="%3."/>
      <w:lvlJc w:val="right"/>
      <w:pPr>
        <w:tabs>
          <w:tab w:val="num" w:pos="2556"/>
        </w:tabs>
        <w:ind w:left="2556" w:hanging="180"/>
      </w:pPr>
      <w:rPr/>
    </w:lvl>
    <w:lvl w:ilvl="3">
      <w:start w:val="1"/>
      <w:numFmt w:val="decimal"/>
      <w:lvlText w:val="%4."/>
      <w:lvlJc w:val="left"/>
      <w:pPr>
        <w:tabs>
          <w:tab w:val="num" w:pos="3276"/>
        </w:tabs>
        <w:ind w:left="3276" w:hanging="360"/>
      </w:pPr>
      <w:rPr/>
    </w:lvl>
    <w:lvl w:ilvl="4">
      <w:start w:val="1"/>
      <w:numFmt w:val="lowerLetter"/>
      <w:lvlText w:val="%5."/>
      <w:lvlJc w:val="left"/>
      <w:pPr>
        <w:tabs>
          <w:tab w:val="num" w:pos="3996"/>
        </w:tabs>
        <w:ind w:left="3996" w:hanging="360"/>
      </w:pPr>
      <w:rPr/>
    </w:lvl>
    <w:lvl w:ilvl="5">
      <w:start w:val="1"/>
      <w:numFmt w:val="lowerRoman"/>
      <w:lvlText w:val="%6."/>
      <w:lvlJc w:val="right"/>
      <w:pPr>
        <w:tabs>
          <w:tab w:val="num" w:pos="4716"/>
        </w:tabs>
        <w:ind w:left="4716" w:hanging="180"/>
      </w:pPr>
      <w:rPr/>
    </w:lvl>
    <w:lvl w:ilvl="6">
      <w:start w:val="1"/>
      <w:numFmt w:val="decimal"/>
      <w:lvlText w:val="%7."/>
      <w:lvlJc w:val="left"/>
      <w:pPr>
        <w:tabs>
          <w:tab w:val="num" w:pos="5436"/>
        </w:tabs>
        <w:ind w:left="5436" w:hanging="360"/>
      </w:pPr>
      <w:rPr/>
    </w:lvl>
    <w:lvl w:ilvl="7">
      <w:start w:val="1"/>
      <w:numFmt w:val="lowerLetter"/>
      <w:lvlText w:val="%8."/>
      <w:lvlJc w:val="left"/>
      <w:pPr>
        <w:tabs>
          <w:tab w:val="num" w:pos="6156"/>
        </w:tabs>
        <w:ind w:left="6156" w:hanging="360"/>
      </w:pPr>
      <w:rPr/>
    </w:lvl>
    <w:lvl w:ilvl="8">
      <w:start w:val="1"/>
      <w:numFmt w:val="lowerRoman"/>
      <w:lvlText w:val="%9."/>
      <w:lvlJc w:val="right"/>
      <w:pPr>
        <w:tabs>
          <w:tab w:val="num" w:pos="6876"/>
        </w:tabs>
        <w:ind w:left="6876" w:hanging="180"/>
      </w:pPr>
      <w:rPr/>
    </w:lvl>
  </w:abstractNum>
  <w:abstractNum w:abstractNumId="31">
    <w:lvl w:ilvl="0">
      <w:start w:val="1"/>
      <w:numFmt w:val="decimal"/>
      <w:lvlText w:val="%1."/>
      <w:lvlJc w:val="left"/>
      <w:pPr>
        <w:tabs>
          <w:tab w:val="num" w:pos="720"/>
        </w:tabs>
        <w:ind w:left="720" w:hanging="360"/>
      </w:pPr>
      <w:rPr/>
    </w:lvl>
    <w:lvl w:ilvl="1">
      <w:start w:val="1"/>
      <w:numFmt w:val="decimal"/>
      <w:lvlText w:val="%2)"/>
      <w:lvlJc w:val="left"/>
      <w:pPr>
        <w:tabs>
          <w:tab w:val="num" w:pos="1080"/>
        </w:tabs>
        <w:ind w:left="1080" w:hanging="360"/>
      </w:pPr>
      <w:rPr/>
    </w:lvl>
    <w:lvl w:ilvl="2">
      <w:start w:val="1"/>
      <w:numFmt w:val="lowerLetter"/>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32">
    <w:lvl w:ilvl="0">
      <w:start w:val="2"/>
      <w:numFmt w:val="decimal"/>
      <w:lvlText w:val="%1."/>
      <w:lvlJc w:val="left"/>
      <w:pPr>
        <w:tabs>
          <w:tab w:val="num" w:pos="360"/>
        </w:tabs>
        <w:ind w:left="360" w:hanging="360"/>
      </w:pPr>
      <w:rPr>
        <w:rFonts w:cs="Times New Roman"/>
      </w:rPr>
    </w:lvl>
    <w:lvl w:ilvl="1">
      <w:start w:val="1"/>
      <w:numFmt w:val="decimal"/>
      <w:lvlText w:val="%1.%2."/>
      <w:lvlJc w:val="left"/>
      <w:pPr>
        <w:tabs>
          <w:tab w:val="num" w:pos="972"/>
        </w:tabs>
        <w:ind w:left="972" w:hanging="432"/>
      </w:pPr>
      <w:rPr>
        <w:b w:val="false"/>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33">
    <w:lvl w:ilvl="0">
      <w:start w:val="1"/>
      <w:numFmt w:val="lowerLetter"/>
      <w:lvlText w:val="%1)"/>
      <w:lvlJc w:val="left"/>
      <w:pPr>
        <w:tabs>
          <w:tab w:val="num" w:pos="0"/>
        </w:tabs>
        <w:ind w:left="1429" w:hanging="360"/>
      </w:pPr>
      <w:rPr/>
    </w:lvl>
    <w:lvl w:ilvl="1">
      <w:start w:val="1"/>
      <w:numFmt w:val="lowerLetter"/>
      <w:lvlText w:val="%2."/>
      <w:lvlJc w:val="left"/>
      <w:pPr>
        <w:tabs>
          <w:tab w:val="num" w:pos="0"/>
        </w:tabs>
        <w:ind w:left="2149" w:hanging="360"/>
      </w:pPr>
      <w:rPr/>
    </w:lvl>
    <w:lvl w:ilvl="2">
      <w:start w:val="1"/>
      <w:numFmt w:val="lowerRoman"/>
      <w:lvlText w:val="%3."/>
      <w:lvlJc w:val="right"/>
      <w:pPr>
        <w:tabs>
          <w:tab w:val="num" w:pos="0"/>
        </w:tabs>
        <w:ind w:left="2869" w:hanging="180"/>
      </w:pPr>
      <w:rPr/>
    </w:lvl>
    <w:lvl w:ilvl="3">
      <w:start w:val="1"/>
      <w:numFmt w:val="decimal"/>
      <w:lvlText w:val="%4."/>
      <w:lvlJc w:val="left"/>
      <w:pPr>
        <w:tabs>
          <w:tab w:val="num" w:pos="0"/>
        </w:tabs>
        <w:ind w:left="3589" w:hanging="360"/>
      </w:pPr>
      <w:rPr/>
    </w:lvl>
    <w:lvl w:ilvl="4">
      <w:start w:val="1"/>
      <w:numFmt w:val="lowerLetter"/>
      <w:lvlText w:val="%5."/>
      <w:lvlJc w:val="left"/>
      <w:pPr>
        <w:tabs>
          <w:tab w:val="num" w:pos="0"/>
        </w:tabs>
        <w:ind w:left="4309" w:hanging="360"/>
      </w:pPr>
      <w:rPr/>
    </w:lvl>
    <w:lvl w:ilvl="5">
      <w:start w:val="1"/>
      <w:numFmt w:val="lowerRoman"/>
      <w:lvlText w:val="%6."/>
      <w:lvlJc w:val="right"/>
      <w:pPr>
        <w:tabs>
          <w:tab w:val="num" w:pos="0"/>
        </w:tabs>
        <w:ind w:left="5029" w:hanging="180"/>
      </w:pPr>
      <w:rPr/>
    </w:lvl>
    <w:lvl w:ilvl="6">
      <w:start w:val="1"/>
      <w:numFmt w:val="decimal"/>
      <w:lvlText w:val="%7."/>
      <w:lvlJc w:val="left"/>
      <w:pPr>
        <w:tabs>
          <w:tab w:val="num" w:pos="0"/>
        </w:tabs>
        <w:ind w:left="5749" w:hanging="360"/>
      </w:pPr>
      <w:rPr/>
    </w:lvl>
    <w:lvl w:ilvl="7">
      <w:start w:val="1"/>
      <w:numFmt w:val="lowerLetter"/>
      <w:lvlText w:val="%8."/>
      <w:lvlJc w:val="left"/>
      <w:pPr>
        <w:tabs>
          <w:tab w:val="num" w:pos="0"/>
        </w:tabs>
        <w:ind w:left="6469" w:hanging="360"/>
      </w:pPr>
      <w:rPr/>
    </w:lvl>
    <w:lvl w:ilvl="8">
      <w:start w:val="1"/>
      <w:numFmt w:val="lowerRoman"/>
      <w:lvlText w:val="%9."/>
      <w:lvlJc w:val="right"/>
      <w:pPr>
        <w:tabs>
          <w:tab w:val="num" w:pos="0"/>
        </w:tabs>
        <w:ind w:left="7189" w:hanging="180"/>
      </w:pPr>
      <w:rPr/>
    </w:lvl>
  </w:abstractNum>
  <w:abstractNum w:abstractNumId="34">
    <w:lvl w:ilvl="0">
      <w:start w:val="1"/>
      <w:numFmt w:val="decimal"/>
      <w:lvlText w:val="%1."/>
      <w:lvlJc w:val="left"/>
      <w:pPr>
        <w:tabs>
          <w:tab w:val="num" w:pos="0"/>
        </w:tabs>
        <w:ind w:left="720" w:hanging="360"/>
      </w:pPr>
      <w:rPr>
        <w:b w:val="false"/>
      </w:rPr>
    </w:lvl>
    <w:lvl w:ilvl="1">
      <w:start w:val="1"/>
      <w:numFmt w:val="decimal"/>
      <w:lvlText w:val="%1.%2."/>
      <w:lvlJc w:val="left"/>
      <w:pPr>
        <w:tabs>
          <w:tab w:val="num" w:pos="0"/>
        </w:tabs>
        <w:ind w:left="1140" w:hanging="420"/>
      </w:pPr>
      <w:rPr>
        <w:color w:val="auto"/>
      </w:rPr>
    </w:lvl>
    <w:lvl w:ilvl="2">
      <w:start w:val="1"/>
      <w:numFmt w:val="decimal"/>
      <w:lvlText w:val="%1.%2.%3."/>
      <w:lvlJc w:val="left"/>
      <w:pPr>
        <w:tabs>
          <w:tab w:val="num" w:pos="0"/>
        </w:tabs>
        <w:ind w:left="1800" w:hanging="720"/>
      </w:pPr>
      <w:rPr/>
    </w:lvl>
    <w:lvl w:ilvl="3">
      <w:start w:val="1"/>
      <w:numFmt w:val="decimal"/>
      <w:lvlText w:val="%1.%2.%3.%4."/>
      <w:lvlJc w:val="left"/>
      <w:pPr>
        <w:tabs>
          <w:tab w:val="num" w:pos="0"/>
        </w:tabs>
        <w:ind w:left="2160" w:hanging="720"/>
      </w:pPr>
      <w:rPr/>
    </w:lvl>
    <w:lvl w:ilvl="4">
      <w:start w:val="1"/>
      <w:numFmt w:val="decimal"/>
      <w:lvlText w:val="%1.%2.%3.%4.%5."/>
      <w:lvlJc w:val="left"/>
      <w:pPr>
        <w:tabs>
          <w:tab w:val="num" w:pos="0"/>
        </w:tabs>
        <w:ind w:left="2880" w:hanging="1080"/>
      </w:pPr>
      <w:rPr/>
    </w:lvl>
    <w:lvl w:ilvl="5">
      <w:start w:val="1"/>
      <w:numFmt w:val="decimal"/>
      <w:lvlText w:val="%1.%2.%3.%4.%5.%6."/>
      <w:lvlJc w:val="left"/>
      <w:pPr>
        <w:tabs>
          <w:tab w:val="num" w:pos="0"/>
        </w:tabs>
        <w:ind w:left="3240" w:hanging="1080"/>
      </w:pPr>
      <w:rPr/>
    </w:lvl>
    <w:lvl w:ilvl="6">
      <w:start w:val="1"/>
      <w:numFmt w:val="decimal"/>
      <w:lvlText w:val="%1.%2.%3.%4.%5.%6.%7."/>
      <w:lvlJc w:val="left"/>
      <w:pPr>
        <w:tabs>
          <w:tab w:val="num" w:pos="0"/>
        </w:tabs>
        <w:ind w:left="3960" w:hanging="1440"/>
      </w:pPr>
      <w:rPr/>
    </w:lvl>
    <w:lvl w:ilvl="7">
      <w:start w:val="1"/>
      <w:numFmt w:val="decimal"/>
      <w:lvlText w:val="%1.%2.%3.%4.%5.%6.%7.%8."/>
      <w:lvlJc w:val="left"/>
      <w:pPr>
        <w:tabs>
          <w:tab w:val="num" w:pos="0"/>
        </w:tabs>
        <w:ind w:left="4320" w:hanging="1440"/>
      </w:pPr>
      <w:rPr/>
    </w:lvl>
    <w:lvl w:ilvl="8">
      <w:start w:val="1"/>
      <w:numFmt w:val="decimal"/>
      <w:lvlText w:val="%1.%2.%3.%4.%5.%6.%7.%8.%9."/>
      <w:lvlJc w:val="left"/>
      <w:pPr>
        <w:tabs>
          <w:tab w:val="num" w:pos="0"/>
        </w:tabs>
        <w:ind w:left="5040" w:hanging="1800"/>
      </w:pPr>
      <w:rPr/>
    </w:lvl>
  </w:abstractNum>
  <w:abstractNum w:abstractNumId="35">
    <w:lvl w:ilvl="0">
      <w:start w:val="3"/>
      <w:numFmt w:val="decimal"/>
      <w:lvlText w:val="%1."/>
      <w:lvlJc w:val="left"/>
      <w:pPr>
        <w:tabs>
          <w:tab w:val="num" w:pos="720"/>
        </w:tabs>
        <w:ind w:left="720" w:hanging="360"/>
      </w:pPr>
      <w:rPr>
        <w:sz w:val="20"/>
        <w:szCs w:val="20"/>
        <w:rFonts w:ascii="Cambria" w:hAnsi="Cambria"/>
      </w:rPr>
    </w:lvl>
    <w:lvl w:ilvl="1">
      <w:start w:val="1"/>
      <w:numFmt w:val="decimal"/>
      <w:lvlText w:val="%2."/>
      <w:lvlJc w:val="left"/>
      <w:pPr>
        <w:tabs>
          <w:tab w:val="num" w:pos="1080"/>
        </w:tabs>
        <w:ind w:left="1080" w:hanging="360"/>
      </w:pPr>
      <w:rPr>
        <w:sz w:val="20"/>
        <w:szCs w:val="20"/>
        <w:rFonts w:ascii="Cambria" w:hAnsi="Cambria"/>
      </w:rPr>
    </w:lvl>
    <w:lvl w:ilvl="2">
      <w:start w:val="1"/>
      <w:numFmt w:val="decimal"/>
      <w:lvlText w:val="%3."/>
      <w:lvlJc w:val="left"/>
      <w:pPr>
        <w:tabs>
          <w:tab w:val="num" w:pos="1440"/>
        </w:tabs>
        <w:ind w:left="1440" w:hanging="360"/>
      </w:pPr>
      <w:rPr>
        <w:sz w:val="20"/>
        <w:szCs w:val="20"/>
        <w:rFonts w:ascii="Cambria" w:hAnsi="Cambria"/>
      </w:rPr>
    </w:lvl>
    <w:lvl w:ilvl="3">
      <w:start w:val="1"/>
      <w:numFmt w:val="lowerLetter"/>
      <w:lvlText w:val="%4)"/>
      <w:lvlJc w:val="left"/>
      <w:pPr>
        <w:tabs>
          <w:tab w:val="num" w:pos="1800"/>
        </w:tabs>
        <w:ind w:left="1800" w:hanging="360"/>
      </w:pPr>
      <w:rPr>
        <w:sz w:val="20"/>
        <w:szCs w:val="20"/>
        <w:rFonts w:ascii="Cambria" w:hAnsi="Cambria"/>
      </w:rPr>
    </w:lvl>
    <w:lvl w:ilvl="4">
      <w:start w:val="1"/>
      <w:numFmt w:val="decimal"/>
      <w:lvlText w:val="%5."/>
      <w:lvlJc w:val="left"/>
      <w:pPr>
        <w:tabs>
          <w:tab w:val="num" w:pos="2160"/>
        </w:tabs>
        <w:ind w:left="2160" w:hanging="360"/>
      </w:pPr>
      <w:rPr>
        <w:sz w:val="20"/>
        <w:szCs w:val="20"/>
        <w:rFonts w:ascii="Cambria" w:hAnsi="Cambria"/>
      </w:rPr>
    </w:lvl>
    <w:lvl w:ilvl="5">
      <w:start w:val="1"/>
      <w:numFmt w:val="decimal"/>
      <w:lvlText w:val="%6."/>
      <w:lvlJc w:val="left"/>
      <w:pPr>
        <w:tabs>
          <w:tab w:val="num" w:pos="2520"/>
        </w:tabs>
        <w:ind w:left="2520" w:hanging="360"/>
      </w:pPr>
      <w:rPr>
        <w:sz w:val="20"/>
        <w:szCs w:val="20"/>
        <w:rFonts w:ascii="Cambria" w:hAnsi="Cambria"/>
      </w:rPr>
    </w:lvl>
    <w:lvl w:ilvl="6">
      <w:start w:val="1"/>
      <w:numFmt w:val="decimal"/>
      <w:lvlText w:val="%7."/>
      <w:lvlJc w:val="left"/>
      <w:pPr>
        <w:tabs>
          <w:tab w:val="num" w:pos="2880"/>
        </w:tabs>
        <w:ind w:left="2880" w:hanging="360"/>
      </w:pPr>
      <w:rPr>
        <w:sz w:val="20"/>
        <w:szCs w:val="20"/>
        <w:rFonts w:ascii="Cambria" w:hAnsi="Cambria"/>
      </w:rPr>
    </w:lvl>
    <w:lvl w:ilvl="7">
      <w:start w:val="1"/>
      <w:numFmt w:val="decimal"/>
      <w:lvlText w:val="%8."/>
      <w:lvlJc w:val="left"/>
      <w:pPr>
        <w:tabs>
          <w:tab w:val="num" w:pos="3240"/>
        </w:tabs>
        <w:ind w:left="3240" w:hanging="360"/>
      </w:pPr>
      <w:rPr>
        <w:sz w:val="20"/>
        <w:szCs w:val="20"/>
        <w:rFonts w:ascii="Cambria" w:hAnsi="Cambria"/>
      </w:rPr>
    </w:lvl>
    <w:lvl w:ilvl="8">
      <w:start w:val="1"/>
      <w:numFmt w:val="decimal"/>
      <w:lvlText w:val="%9."/>
      <w:lvlJc w:val="left"/>
      <w:pPr>
        <w:tabs>
          <w:tab w:val="num" w:pos="3600"/>
        </w:tabs>
        <w:ind w:left="3600" w:hanging="360"/>
      </w:pPr>
      <w:rPr>
        <w:sz w:val="20"/>
        <w:szCs w:val="20"/>
        <w:rFonts w:ascii="Cambria" w:hAnsi="Cambria"/>
      </w:rPr>
    </w:lvl>
  </w:abstractNum>
  <w:abstractNum w:abstractNumId="36">
    <w:lvl w:ilvl="0">
      <w:start w:val="1"/>
      <w:numFmt w:val="bullet"/>
      <w:lvlText w:val=""/>
      <w:lvlJc w:val="left"/>
      <w:pPr>
        <w:tabs>
          <w:tab w:val="num" w:pos="972"/>
        </w:tabs>
        <w:ind w:left="972" w:hanging="360"/>
      </w:pPr>
      <w:rPr>
        <w:rFonts w:ascii="Symbol" w:hAnsi="Symbol" w:cs="Symbol" w:hint="default"/>
      </w:rPr>
    </w:lvl>
    <w:lvl w:ilvl="1">
      <w:start w:val="1"/>
      <w:numFmt w:val="bullet"/>
      <w:lvlText w:val=""/>
      <w:lvlJc w:val="left"/>
      <w:pPr>
        <w:tabs>
          <w:tab w:val="num" w:pos="1332"/>
        </w:tabs>
        <w:ind w:left="1332" w:hanging="360"/>
      </w:pPr>
      <w:rPr>
        <w:rFonts w:ascii="Symbol" w:hAnsi="Symbol" w:cs="Symbol" w:hint="default"/>
      </w:rPr>
    </w:lvl>
    <w:lvl w:ilvl="2">
      <w:start w:val="1"/>
      <w:numFmt w:val="bullet"/>
      <w:lvlText w:val=""/>
      <w:lvlJc w:val="left"/>
      <w:pPr>
        <w:tabs>
          <w:tab w:val="num" w:pos="1692"/>
        </w:tabs>
        <w:ind w:left="1692" w:hanging="360"/>
      </w:pPr>
      <w:rPr>
        <w:rFonts w:ascii="Symbol" w:hAnsi="Symbol" w:cs="Symbol" w:hint="default"/>
      </w:rPr>
    </w:lvl>
    <w:lvl w:ilvl="3">
      <w:start w:val="1"/>
      <w:numFmt w:val="bullet"/>
      <w:lvlText w:val=""/>
      <w:lvlJc w:val="left"/>
      <w:pPr>
        <w:tabs>
          <w:tab w:val="num" w:pos="2052"/>
        </w:tabs>
        <w:ind w:left="2052" w:hanging="360"/>
      </w:pPr>
      <w:rPr>
        <w:rFonts w:ascii="Symbol" w:hAnsi="Symbol" w:cs="Symbol" w:hint="default"/>
      </w:rPr>
    </w:lvl>
    <w:lvl w:ilvl="4">
      <w:start w:val="1"/>
      <w:numFmt w:val="bullet"/>
      <w:lvlText w:val=""/>
      <w:lvlJc w:val="left"/>
      <w:pPr>
        <w:tabs>
          <w:tab w:val="num" w:pos="2412"/>
        </w:tabs>
        <w:ind w:left="2412" w:hanging="360"/>
      </w:pPr>
      <w:rPr>
        <w:rFonts w:ascii="Symbol" w:hAnsi="Symbol" w:cs="Symbol" w:hint="default"/>
      </w:rPr>
    </w:lvl>
    <w:lvl w:ilvl="5">
      <w:start w:val="1"/>
      <w:numFmt w:val="bullet"/>
      <w:lvlText w:val=""/>
      <w:lvlJc w:val="left"/>
      <w:pPr>
        <w:tabs>
          <w:tab w:val="num" w:pos="2772"/>
        </w:tabs>
        <w:ind w:left="2772" w:hanging="360"/>
      </w:pPr>
      <w:rPr>
        <w:rFonts w:ascii="Symbol" w:hAnsi="Symbol" w:cs="Symbol" w:hint="default"/>
      </w:rPr>
    </w:lvl>
    <w:lvl w:ilvl="6">
      <w:start w:val="1"/>
      <w:numFmt w:val="bullet"/>
      <w:lvlText w:val=""/>
      <w:lvlJc w:val="left"/>
      <w:pPr>
        <w:tabs>
          <w:tab w:val="num" w:pos="3132"/>
        </w:tabs>
        <w:ind w:left="3132" w:hanging="360"/>
      </w:pPr>
      <w:rPr>
        <w:rFonts w:ascii="Symbol" w:hAnsi="Symbol" w:cs="Symbol" w:hint="default"/>
      </w:rPr>
    </w:lvl>
    <w:lvl w:ilvl="7">
      <w:start w:val="1"/>
      <w:numFmt w:val="bullet"/>
      <w:lvlText w:val=""/>
      <w:lvlJc w:val="left"/>
      <w:pPr>
        <w:tabs>
          <w:tab w:val="num" w:pos="3492"/>
        </w:tabs>
        <w:ind w:left="3492" w:hanging="360"/>
      </w:pPr>
      <w:rPr>
        <w:rFonts w:ascii="Symbol" w:hAnsi="Symbol" w:cs="Symbol" w:hint="default"/>
      </w:rPr>
    </w:lvl>
    <w:lvl w:ilvl="8">
      <w:start w:val="1"/>
      <w:numFmt w:val="bullet"/>
      <w:lvlText w:val=""/>
      <w:lvlJc w:val="left"/>
      <w:pPr>
        <w:tabs>
          <w:tab w:val="num" w:pos="3852"/>
        </w:tabs>
        <w:ind w:left="3852" w:hanging="360"/>
      </w:pPr>
      <w:rPr>
        <w:rFonts w:ascii="Symbol" w:hAnsi="Symbol" w:cs="Symbol" w:hint="default"/>
      </w:rPr>
    </w:lvl>
  </w:abstractNum>
  <w:abstractNum w:abstractNumId="37">
    <w:lvl w:ilvl="0">
      <w:start w:val="1"/>
      <w:numFmt w:val="lowerLetter"/>
      <w:lvlText w:val="%1)"/>
      <w:lvlJc w:val="left"/>
      <w:pPr>
        <w:tabs>
          <w:tab w:val="num" w:pos="0"/>
        </w:tabs>
        <w:ind w:left="2170" w:hanging="360"/>
      </w:pPr>
      <w:rPr/>
    </w:lvl>
    <w:lvl w:ilvl="1">
      <w:start w:val="1"/>
      <w:numFmt w:val="lowerLetter"/>
      <w:lvlText w:val="%2."/>
      <w:lvlJc w:val="left"/>
      <w:pPr>
        <w:tabs>
          <w:tab w:val="num" w:pos="0"/>
        </w:tabs>
        <w:ind w:left="2890" w:hanging="360"/>
      </w:pPr>
      <w:rPr/>
    </w:lvl>
    <w:lvl w:ilvl="2">
      <w:start w:val="1"/>
      <w:numFmt w:val="lowerRoman"/>
      <w:lvlText w:val="%3."/>
      <w:lvlJc w:val="right"/>
      <w:pPr>
        <w:tabs>
          <w:tab w:val="num" w:pos="0"/>
        </w:tabs>
        <w:ind w:left="3610" w:hanging="180"/>
      </w:pPr>
      <w:rPr/>
    </w:lvl>
    <w:lvl w:ilvl="3">
      <w:start w:val="1"/>
      <w:numFmt w:val="decimal"/>
      <w:lvlText w:val="%4."/>
      <w:lvlJc w:val="left"/>
      <w:pPr>
        <w:tabs>
          <w:tab w:val="num" w:pos="0"/>
        </w:tabs>
        <w:ind w:left="4330" w:hanging="360"/>
      </w:pPr>
      <w:rPr/>
    </w:lvl>
    <w:lvl w:ilvl="4">
      <w:start w:val="1"/>
      <w:numFmt w:val="lowerLetter"/>
      <w:lvlText w:val="%5."/>
      <w:lvlJc w:val="left"/>
      <w:pPr>
        <w:tabs>
          <w:tab w:val="num" w:pos="0"/>
        </w:tabs>
        <w:ind w:left="5050" w:hanging="360"/>
      </w:pPr>
      <w:rPr/>
    </w:lvl>
    <w:lvl w:ilvl="5">
      <w:start w:val="1"/>
      <w:numFmt w:val="lowerRoman"/>
      <w:lvlText w:val="%6."/>
      <w:lvlJc w:val="right"/>
      <w:pPr>
        <w:tabs>
          <w:tab w:val="num" w:pos="0"/>
        </w:tabs>
        <w:ind w:left="5770" w:hanging="180"/>
      </w:pPr>
      <w:rPr/>
    </w:lvl>
    <w:lvl w:ilvl="6">
      <w:start w:val="1"/>
      <w:numFmt w:val="decimal"/>
      <w:lvlText w:val="%7."/>
      <w:lvlJc w:val="left"/>
      <w:pPr>
        <w:tabs>
          <w:tab w:val="num" w:pos="0"/>
        </w:tabs>
        <w:ind w:left="6490" w:hanging="360"/>
      </w:pPr>
      <w:rPr/>
    </w:lvl>
    <w:lvl w:ilvl="7">
      <w:start w:val="1"/>
      <w:numFmt w:val="lowerLetter"/>
      <w:lvlText w:val="%8."/>
      <w:lvlJc w:val="left"/>
      <w:pPr>
        <w:tabs>
          <w:tab w:val="num" w:pos="0"/>
        </w:tabs>
        <w:ind w:left="7210" w:hanging="360"/>
      </w:pPr>
      <w:rPr/>
    </w:lvl>
    <w:lvl w:ilvl="8">
      <w:start w:val="1"/>
      <w:numFmt w:val="lowerRoman"/>
      <w:lvlText w:val="%9."/>
      <w:lvlJc w:val="right"/>
      <w:pPr>
        <w:tabs>
          <w:tab w:val="num" w:pos="0"/>
        </w:tabs>
        <w:ind w:left="7930" w:hanging="180"/>
      </w:pPr>
      <w:rPr/>
    </w:lvl>
  </w:abstractNum>
  <w:abstractNum w:abstractNumId="38">
    <w:lvl w:ilvl="0">
      <w:start w:val="1"/>
      <w:numFmt w:val="decimal"/>
      <w:lvlText w:val="%1."/>
      <w:lvlJc w:val="left"/>
      <w:pPr>
        <w:tabs>
          <w:tab w:val="num" w:pos="0"/>
        </w:tabs>
        <w:ind w:left="360" w:hanging="360"/>
      </w:pPr>
      <w:rPr>
        <w:sz w:val="22"/>
        <w:b/>
        <w:szCs w:val="22"/>
        <w:bCs/>
      </w:rPr>
    </w:lvl>
    <w:lvl w:ilvl="1">
      <w:start w:val="1"/>
      <w:numFmt w:val="decimal"/>
      <w:lvlText w:val="%2."/>
      <w:lvlJc w:val="left"/>
      <w:pPr>
        <w:tabs>
          <w:tab w:val="num" w:pos="0"/>
        </w:tabs>
        <w:ind w:left="1080" w:hanging="360"/>
      </w:pPr>
      <w:rPr/>
    </w:lvl>
    <w:lvl w:ilvl="2">
      <w:start w:val="1"/>
      <w:numFmt w:val="lowerLetter"/>
      <w:lvlText w:val="%3)"/>
      <w:lvlJc w:val="right"/>
      <w:pPr>
        <w:tabs>
          <w:tab w:val="num" w:pos="0"/>
        </w:tabs>
        <w:ind w:left="1800" w:hanging="180"/>
      </w:pPr>
      <w:rPr>
        <w:rFonts w:ascii="Cambria" w:hAnsi="Cambria" w:eastAsia="Times New Roman" w:cs="Arial"/>
      </w:rPr>
    </w:lvl>
    <w:lvl w:ilvl="3">
      <w:start w:val="1"/>
      <w:numFmt w:val="decimal"/>
      <w:lvlText w:val="%4."/>
      <w:lvlJc w:val="left"/>
      <w:pPr>
        <w:tabs>
          <w:tab w:val="num" w:pos="0"/>
        </w:tabs>
        <w:ind w:left="2520" w:hanging="360"/>
      </w:pPr>
      <w:rPr/>
    </w:lvl>
    <w:lvl w:ilvl="4">
      <w:start w:val="1"/>
      <w:numFmt w:val="decimal"/>
      <w:lvlText w:val="%5."/>
      <w:lvlJc w:val="left"/>
      <w:pPr>
        <w:tabs>
          <w:tab w:val="num" w:pos="0"/>
        </w:tabs>
        <w:ind w:left="3240" w:hanging="360"/>
      </w:pPr>
      <w:rPr/>
    </w:lvl>
    <w:lvl w:ilvl="5">
      <w:start w:val="1"/>
      <w:numFmt w:val="decimal"/>
      <w:lvlText w:val="%6."/>
      <w:lvlJc w:val="left"/>
      <w:pPr>
        <w:tabs>
          <w:tab w:val="num" w:pos="0"/>
        </w:tabs>
        <w:ind w:left="3960" w:hanging="360"/>
      </w:pPr>
      <w:rPr/>
    </w:lvl>
    <w:lvl w:ilvl="6">
      <w:start w:val="1"/>
      <w:numFmt w:val="decimal"/>
      <w:lvlText w:val="%7."/>
      <w:lvlJc w:val="left"/>
      <w:pPr>
        <w:tabs>
          <w:tab w:val="num" w:pos="0"/>
        </w:tabs>
        <w:ind w:left="4680" w:hanging="360"/>
      </w:pPr>
      <w:rPr/>
    </w:lvl>
    <w:lvl w:ilvl="7">
      <w:start w:val="1"/>
      <w:numFmt w:val="decimal"/>
      <w:lvlText w:val="%8."/>
      <w:lvlJc w:val="left"/>
      <w:pPr>
        <w:tabs>
          <w:tab w:val="num" w:pos="0"/>
        </w:tabs>
        <w:ind w:left="5400" w:hanging="360"/>
      </w:pPr>
      <w:rPr/>
    </w:lvl>
    <w:lvl w:ilvl="8">
      <w:start w:val="1"/>
      <w:numFmt w:val="decimal"/>
      <w:lvlText w:val="%9."/>
      <w:lvlJc w:val="left"/>
      <w:pPr>
        <w:tabs>
          <w:tab w:val="num" w:pos="0"/>
        </w:tabs>
        <w:ind w:left="6120" w:hanging="360"/>
      </w:pPr>
      <w:rPr/>
    </w:lvl>
  </w:abstractNum>
  <w:abstractNum w:abstractNumId="39">
    <w:lvl w:ilvl="0">
      <w:start w:val="1"/>
      <w:numFmt w:val="decimal"/>
      <w:lvlText w:val="%1."/>
      <w:lvlJc w:val="left"/>
      <w:pPr>
        <w:tabs>
          <w:tab w:val="num" w:pos="0"/>
        </w:tabs>
        <w:ind w:left="720" w:hanging="360"/>
      </w:pPr>
      <w:rPr>
        <w:b w:val="false"/>
      </w:rPr>
    </w:lvl>
    <w:lvl w:ilvl="1">
      <w:start w:val="1"/>
      <w:numFmt w:val="decimal"/>
      <w:lvlText w:val="%1.%2."/>
      <w:lvlJc w:val="left"/>
      <w:pPr>
        <w:tabs>
          <w:tab w:val="num" w:pos="0"/>
        </w:tabs>
        <w:ind w:left="1140" w:hanging="420"/>
      </w:pPr>
      <w:rPr>
        <w:color w:val="auto"/>
      </w:rPr>
    </w:lvl>
    <w:lvl w:ilvl="2">
      <w:start w:val="1"/>
      <w:numFmt w:val="decimal"/>
      <w:lvlText w:val="%1.%2.%3."/>
      <w:lvlJc w:val="left"/>
      <w:pPr>
        <w:tabs>
          <w:tab w:val="num" w:pos="0"/>
        </w:tabs>
        <w:ind w:left="1800" w:hanging="720"/>
      </w:pPr>
      <w:rPr/>
    </w:lvl>
    <w:lvl w:ilvl="3">
      <w:start w:val="1"/>
      <w:numFmt w:val="decimal"/>
      <w:lvlText w:val="%1.%2.%3.%4."/>
      <w:lvlJc w:val="left"/>
      <w:pPr>
        <w:tabs>
          <w:tab w:val="num" w:pos="0"/>
        </w:tabs>
        <w:ind w:left="2160" w:hanging="720"/>
      </w:pPr>
      <w:rPr/>
    </w:lvl>
    <w:lvl w:ilvl="4">
      <w:start w:val="1"/>
      <w:numFmt w:val="decimal"/>
      <w:lvlText w:val="%1.%2.%3.%4.%5."/>
      <w:lvlJc w:val="left"/>
      <w:pPr>
        <w:tabs>
          <w:tab w:val="num" w:pos="0"/>
        </w:tabs>
        <w:ind w:left="2880" w:hanging="1080"/>
      </w:pPr>
      <w:rPr/>
    </w:lvl>
    <w:lvl w:ilvl="5">
      <w:start w:val="1"/>
      <w:numFmt w:val="decimal"/>
      <w:lvlText w:val="%1.%2.%3.%4.%5.%6."/>
      <w:lvlJc w:val="left"/>
      <w:pPr>
        <w:tabs>
          <w:tab w:val="num" w:pos="0"/>
        </w:tabs>
        <w:ind w:left="3240" w:hanging="1080"/>
      </w:pPr>
      <w:rPr/>
    </w:lvl>
    <w:lvl w:ilvl="6">
      <w:start w:val="1"/>
      <w:numFmt w:val="decimal"/>
      <w:lvlText w:val="%1.%2.%3.%4.%5.%6.%7."/>
      <w:lvlJc w:val="left"/>
      <w:pPr>
        <w:tabs>
          <w:tab w:val="num" w:pos="0"/>
        </w:tabs>
        <w:ind w:left="3960" w:hanging="1440"/>
      </w:pPr>
      <w:rPr/>
    </w:lvl>
    <w:lvl w:ilvl="7">
      <w:start w:val="1"/>
      <w:numFmt w:val="decimal"/>
      <w:lvlText w:val="%1.%2.%3.%4.%5.%6.%7.%8."/>
      <w:lvlJc w:val="left"/>
      <w:pPr>
        <w:tabs>
          <w:tab w:val="num" w:pos="0"/>
        </w:tabs>
        <w:ind w:left="4320" w:hanging="1440"/>
      </w:pPr>
      <w:rPr/>
    </w:lvl>
    <w:lvl w:ilvl="8">
      <w:start w:val="1"/>
      <w:numFmt w:val="decimal"/>
      <w:lvlText w:val="%1.%2.%3.%4.%5.%6.%7.%8.%9."/>
      <w:lvlJc w:val="left"/>
      <w:pPr>
        <w:tabs>
          <w:tab w:val="num" w:pos="0"/>
        </w:tabs>
        <w:ind w:left="5040" w:hanging="1800"/>
      </w:pPr>
      <w:rPr/>
    </w:lvl>
  </w:abstractNum>
  <w:abstractNum w:abstractNumId="40">
    <w:lvl w:ilvl="0">
      <w:start w:val="1"/>
      <w:numFmt w:val="decimal"/>
      <w:lvlText w:val="%1."/>
      <w:lvlJc w:val="left"/>
      <w:pPr>
        <w:tabs>
          <w:tab w:val="num" w:pos="0"/>
        </w:tabs>
        <w:ind w:left="720" w:hanging="360"/>
      </w:pPr>
      <w:rPr>
        <w:b w:val="false"/>
      </w:rPr>
    </w:lvl>
    <w:lvl w:ilvl="1">
      <w:start w:val="1"/>
      <w:numFmt w:val="decimal"/>
      <w:lvlText w:val="%1.%2."/>
      <w:lvlJc w:val="left"/>
      <w:pPr>
        <w:tabs>
          <w:tab w:val="num" w:pos="0"/>
        </w:tabs>
        <w:ind w:left="1140" w:hanging="420"/>
      </w:pPr>
      <w:rPr>
        <w:color w:val="auto"/>
      </w:rPr>
    </w:lvl>
    <w:lvl w:ilvl="2">
      <w:start w:val="1"/>
      <w:numFmt w:val="decimal"/>
      <w:lvlText w:val="%1.%2.%3."/>
      <w:lvlJc w:val="left"/>
      <w:pPr>
        <w:tabs>
          <w:tab w:val="num" w:pos="0"/>
        </w:tabs>
        <w:ind w:left="1800" w:hanging="720"/>
      </w:pPr>
      <w:rPr/>
    </w:lvl>
    <w:lvl w:ilvl="3">
      <w:start w:val="1"/>
      <w:numFmt w:val="decimal"/>
      <w:lvlText w:val="%1.%2.%3.%4."/>
      <w:lvlJc w:val="left"/>
      <w:pPr>
        <w:tabs>
          <w:tab w:val="num" w:pos="0"/>
        </w:tabs>
        <w:ind w:left="2160" w:hanging="720"/>
      </w:pPr>
      <w:rPr/>
    </w:lvl>
    <w:lvl w:ilvl="4">
      <w:start w:val="1"/>
      <w:numFmt w:val="decimal"/>
      <w:lvlText w:val="%1.%2.%3.%4.%5."/>
      <w:lvlJc w:val="left"/>
      <w:pPr>
        <w:tabs>
          <w:tab w:val="num" w:pos="0"/>
        </w:tabs>
        <w:ind w:left="2880" w:hanging="1080"/>
      </w:pPr>
      <w:rPr/>
    </w:lvl>
    <w:lvl w:ilvl="5">
      <w:start w:val="1"/>
      <w:numFmt w:val="decimal"/>
      <w:lvlText w:val="%1.%2.%3.%4.%5.%6."/>
      <w:lvlJc w:val="left"/>
      <w:pPr>
        <w:tabs>
          <w:tab w:val="num" w:pos="0"/>
        </w:tabs>
        <w:ind w:left="3240" w:hanging="1080"/>
      </w:pPr>
      <w:rPr/>
    </w:lvl>
    <w:lvl w:ilvl="6">
      <w:start w:val="1"/>
      <w:numFmt w:val="decimal"/>
      <w:lvlText w:val="%1.%2.%3.%4.%5.%6.%7."/>
      <w:lvlJc w:val="left"/>
      <w:pPr>
        <w:tabs>
          <w:tab w:val="num" w:pos="0"/>
        </w:tabs>
        <w:ind w:left="3960" w:hanging="1440"/>
      </w:pPr>
      <w:rPr/>
    </w:lvl>
    <w:lvl w:ilvl="7">
      <w:start w:val="1"/>
      <w:numFmt w:val="decimal"/>
      <w:lvlText w:val="%1.%2.%3.%4.%5.%6.%7.%8."/>
      <w:lvlJc w:val="left"/>
      <w:pPr>
        <w:tabs>
          <w:tab w:val="num" w:pos="0"/>
        </w:tabs>
        <w:ind w:left="4320" w:hanging="1440"/>
      </w:pPr>
      <w:rPr/>
    </w:lvl>
    <w:lvl w:ilvl="8">
      <w:start w:val="1"/>
      <w:numFmt w:val="decimal"/>
      <w:lvlText w:val="%1.%2.%3.%4.%5.%6.%7.%8.%9."/>
      <w:lvlJc w:val="left"/>
      <w:pPr>
        <w:tabs>
          <w:tab w:val="num" w:pos="0"/>
        </w:tabs>
        <w:ind w:left="5040" w:hanging="1800"/>
      </w:pPr>
      <w:rPr/>
    </w:lvl>
  </w:abstractNum>
  <w:abstractNum w:abstractNumId="41">
    <w:lvl w:ilvl="0">
      <w:start w:val="1"/>
      <w:numFmt w:val="decimal"/>
      <w:lvlText w:val="%1."/>
      <w:lvlJc w:val="left"/>
      <w:pPr>
        <w:tabs>
          <w:tab w:val="num" w:pos="0"/>
        </w:tabs>
        <w:ind w:left="720" w:hanging="360"/>
      </w:pPr>
      <w:rPr>
        <w:b w:val="false"/>
      </w:rPr>
    </w:lvl>
    <w:lvl w:ilvl="1">
      <w:start w:val="1"/>
      <w:numFmt w:val="decimal"/>
      <w:lvlText w:val="%1.%2."/>
      <w:lvlJc w:val="left"/>
      <w:pPr>
        <w:tabs>
          <w:tab w:val="num" w:pos="0"/>
        </w:tabs>
        <w:ind w:left="1140" w:hanging="420"/>
      </w:pPr>
      <w:rPr>
        <w:color w:val="auto"/>
      </w:rPr>
    </w:lvl>
    <w:lvl w:ilvl="2">
      <w:start w:val="1"/>
      <w:numFmt w:val="decimal"/>
      <w:lvlText w:val="%1.%2.%3."/>
      <w:lvlJc w:val="left"/>
      <w:pPr>
        <w:tabs>
          <w:tab w:val="num" w:pos="0"/>
        </w:tabs>
        <w:ind w:left="1800" w:hanging="720"/>
      </w:pPr>
      <w:rPr/>
    </w:lvl>
    <w:lvl w:ilvl="3">
      <w:start w:val="1"/>
      <w:numFmt w:val="decimal"/>
      <w:lvlText w:val="%1.%2.%3.%4."/>
      <w:lvlJc w:val="left"/>
      <w:pPr>
        <w:tabs>
          <w:tab w:val="num" w:pos="0"/>
        </w:tabs>
        <w:ind w:left="2160" w:hanging="720"/>
      </w:pPr>
      <w:rPr/>
    </w:lvl>
    <w:lvl w:ilvl="4">
      <w:start w:val="1"/>
      <w:numFmt w:val="decimal"/>
      <w:lvlText w:val="%1.%2.%3.%4.%5."/>
      <w:lvlJc w:val="left"/>
      <w:pPr>
        <w:tabs>
          <w:tab w:val="num" w:pos="0"/>
        </w:tabs>
        <w:ind w:left="2880" w:hanging="1080"/>
      </w:pPr>
      <w:rPr/>
    </w:lvl>
    <w:lvl w:ilvl="5">
      <w:start w:val="1"/>
      <w:numFmt w:val="decimal"/>
      <w:lvlText w:val="%1.%2.%3.%4.%5.%6."/>
      <w:lvlJc w:val="left"/>
      <w:pPr>
        <w:tabs>
          <w:tab w:val="num" w:pos="0"/>
        </w:tabs>
        <w:ind w:left="3240" w:hanging="1080"/>
      </w:pPr>
      <w:rPr/>
    </w:lvl>
    <w:lvl w:ilvl="6">
      <w:start w:val="1"/>
      <w:numFmt w:val="decimal"/>
      <w:lvlText w:val="%1.%2.%3.%4.%5.%6.%7."/>
      <w:lvlJc w:val="left"/>
      <w:pPr>
        <w:tabs>
          <w:tab w:val="num" w:pos="0"/>
        </w:tabs>
        <w:ind w:left="3960" w:hanging="1440"/>
      </w:pPr>
      <w:rPr/>
    </w:lvl>
    <w:lvl w:ilvl="7">
      <w:start w:val="1"/>
      <w:numFmt w:val="decimal"/>
      <w:lvlText w:val="%1.%2.%3.%4.%5.%6.%7.%8."/>
      <w:lvlJc w:val="left"/>
      <w:pPr>
        <w:tabs>
          <w:tab w:val="num" w:pos="0"/>
        </w:tabs>
        <w:ind w:left="4320" w:hanging="1440"/>
      </w:pPr>
      <w:rPr/>
    </w:lvl>
    <w:lvl w:ilvl="8">
      <w:start w:val="1"/>
      <w:numFmt w:val="decimal"/>
      <w:lvlText w:val="%1.%2.%3.%4.%5.%6.%7.%8.%9."/>
      <w:lvlJc w:val="left"/>
      <w:pPr>
        <w:tabs>
          <w:tab w:val="num" w:pos="0"/>
        </w:tabs>
        <w:ind w:left="5040" w:hanging="1800"/>
      </w:pPr>
      <w:rPr/>
    </w:lvl>
  </w:abstractNum>
  <w:abstractNum w:abstractNumId="42">
    <w:lvl w:ilvl="0">
      <w:start w:val="1"/>
      <w:numFmt w:val="decimal"/>
      <w:lvlText w:val="%1."/>
      <w:lvlJc w:val="left"/>
      <w:pPr>
        <w:tabs>
          <w:tab w:val="num" w:pos="0"/>
        </w:tabs>
        <w:ind w:left="720" w:hanging="360"/>
      </w:pPr>
      <w:rPr>
        <w:b w:val="false"/>
      </w:rPr>
    </w:lvl>
    <w:lvl w:ilvl="1">
      <w:start w:val="1"/>
      <w:numFmt w:val="decimal"/>
      <w:lvlText w:val="%1.%2."/>
      <w:lvlJc w:val="left"/>
      <w:pPr>
        <w:tabs>
          <w:tab w:val="num" w:pos="0"/>
        </w:tabs>
        <w:ind w:left="1140" w:hanging="420"/>
      </w:pPr>
      <w:rPr>
        <w:color w:val="auto"/>
      </w:rPr>
    </w:lvl>
    <w:lvl w:ilvl="2">
      <w:start w:val="1"/>
      <w:numFmt w:val="decimal"/>
      <w:lvlText w:val="%1.%2.%3."/>
      <w:lvlJc w:val="left"/>
      <w:pPr>
        <w:tabs>
          <w:tab w:val="num" w:pos="0"/>
        </w:tabs>
        <w:ind w:left="1800" w:hanging="720"/>
      </w:pPr>
      <w:rPr/>
    </w:lvl>
    <w:lvl w:ilvl="3">
      <w:start w:val="1"/>
      <w:numFmt w:val="decimal"/>
      <w:lvlText w:val="%1.%2.%3.%4."/>
      <w:lvlJc w:val="left"/>
      <w:pPr>
        <w:tabs>
          <w:tab w:val="num" w:pos="0"/>
        </w:tabs>
        <w:ind w:left="2160" w:hanging="720"/>
      </w:pPr>
      <w:rPr/>
    </w:lvl>
    <w:lvl w:ilvl="4">
      <w:start w:val="1"/>
      <w:numFmt w:val="decimal"/>
      <w:lvlText w:val="%1.%2.%3.%4.%5."/>
      <w:lvlJc w:val="left"/>
      <w:pPr>
        <w:tabs>
          <w:tab w:val="num" w:pos="0"/>
        </w:tabs>
        <w:ind w:left="2880" w:hanging="1080"/>
      </w:pPr>
      <w:rPr/>
    </w:lvl>
    <w:lvl w:ilvl="5">
      <w:start w:val="1"/>
      <w:numFmt w:val="decimal"/>
      <w:lvlText w:val="%1.%2.%3.%4.%5.%6."/>
      <w:lvlJc w:val="left"/>
      <w:pPr>
        <w:tabs>
          <w:tab w:val="num" w:pos="0"/>
        </w:tabs>
        <w:ind w:left="3240" w:hanging="1080"/>
      </w:pPr>
      <w:rPr/>
    </w:lvl>
    <w:lvl w:ilvl="6">
      <w:start w:val="1"/>
      <w:numFmt w:val="decimal"/>
      <w:lvlText w:val="%1.%2.%3.%4.%5.%6.%7."/>
      <w:lvlJc w:val="left"/>
      <w:pPr>
        <w:tabs>
          <w:tab w:val="num" w:pos="0"/>
        </w:tabs>
        <w:ind w:left="3960" w:hanging="1440"/>
      </w:pPr>
      <w:rPr/>
    </w:lvl>
    <w:lvl w:ilvl="7">
      <w:start w:val="1"/>
      <w:numFmt w:val="decimal"/>
      <w:lvlText w:val="%1.%2.%3.%4.%5.%6.%7.%8."/>
      <w:lvlJc w:val="left"/>
      <w:pPr>
        <w:tabs>
          <w:tab w:val="num" w:pos="0"/>
        </w:tabs>
        <w:ind w:left="4320" w:hanging="1440"/>
      </w:pPr>
      <w:rPr/>
    </w:lvl>
    <w:lvl w:ilvl="8">
      <w:start w:val="1"/>
      <w:numFmt w:val="decimal"/>
      <w:lvlText w:val="%1.%2.%3.%4.%5.%6.%7.%8.%9."/>
      <w:lvlJc w:val="left"/>
      <w:pPr>
        <w:tabs>
          <w:tab w:val="num" w:pos="0"/>
        </w:tabs>
        <w:ind w:left="5040" w:hanging="1800"/>
      </w:pPr>
      <w:rPr/>
    </w:lvl>
  </w:abstractNum>
  <w:abstractNum w:abstractNumId="43">
    <w:lvl w:ilvl="0">
      <w:start w:val="1"/>
      <w:numFmt w:val="decimal"/>
      <w:lvlText w:val="%1."/>
      <w:lvlJc w:val="left"/>
      <w:pPr>
        <w:tabs>
          <w:tab w:val="num" w:pos="0"/>
        </w:tabs>
        <w:ind w:left="720" w:hanging="360"/>
      </w:pPr>
      <w:rPr>
        <w:b w:val="false"/>
      </w:rPr>
    </w:lvl>
    <w:lvl w:ilvl="1">
      <w:start w:val="1"/>
      <w:numFmt w:val="decimal"/>
      <w:lvlText w:val="%1.%2."/>
      <w:lvlJc w:val="left"/>
      <w:pPr>
        <w:tabs>
          <w:tab w:val="num" w:pos="0"/>
        </w:tabs>
        <w:ind w:left="1140" w:hanging="420"/>
      </w:pPr>
      <w:rPr>
        <w:color w:val="auto"/>
      </w:rPr>
    </w:lvl>
    <w:lvl w:ilvl="2">
      <w:start w:val="1"/>
      <w:numFmt w:val="decimal"/>
      <w:lvlText w:val="%1.%2.%3."/>
      <w:lvlJc w:val="left"/>
      <w:pPr>
        <w:tabs>
          <w:tab w:val="num" w:pos="0"/>
        </w:tabs>
        <w:ind w:left="1800" w:hanging="720"/>
      </w:pPr>
      <w:rPr/>
    </w:lvl>
    <w:lvl w:ilvl="3">
      <w:start w:val="1"/>
      <w:numFmt w:val="decimal"/>
      <w:lvlText w:val="%1.%2.%3.%4."/>
      <w:lvlJc w:val="left"/>
      <w:pPr>
        <w:tabs>
          <w:tab w:val="num" w:pos="0"/>
        </w:tabs>
        <w:ind w:left="2160" w:hanging="720"/>
      </w:pPr>
      <w:rPr/>
    </w:lvl>
    <w:lvl w:ilvl="4">
      <w:start w:val="1"/>
      <w:numFmt w:val="decimal"/>
      <w:lvlText w:val="%1.%2.%3.%4.%5."/>
      <w:lvlJc w:val="left"/>
      <w:pPr>
        <w:tabs>
          <w:tab w:val="num" w:pos="0"/>
        </w:tabs>
        <w:ind w:left="2880" w:hanging="1080"/>
      </w:pPr>
      <w:rPr/>
    </w:lvl>
    <w:lvl w:ilvl="5">
      <w:start w:val="1"/>
      <w:numFmt w:val="decimal"/>
      <w:lvlText w:val="%1.%2.%3.%4.%5.%6."/>
      <w:lvlJc w:val="left"/>
      <w:pPr>
        <w:tabs>
          <w:tab w:val="num" w:pos="0"/>
        </w:tabs>
        <w:ind w:left="3240" w:hanging="1080"/>
      </w:pPr>
      <w:rPr/>
    </w:lvl>
    <w:lvl w:ilvl="6">
      <w:start w:val="1"/>
      <w:numFmt w:val="decimal"/>
      <w:lvlText w:val="%1.%2.%3.%4.%5.%6.%7."/>
      <w:lvlJc w:val="left"/>
      <w:pPr>
        <w:tabs>
          <w:tab w:val="num" w:pos="0"/>
        </w:tabs>
        <w:ind w:left="3960" w:hanging="1440"/>
      </w:pPr>
      <w:rPr/>
    </w:lvl>
    <w:lvl w:ilvl="7">
      <w:start w:val="1"/>
      <w:numFmt w:val="decimal"/>
      <w:lvlText w:val="%1.%2.%3.%4.%5.%6.%7.%8."/>
      <w:lvlJc w:val="left"/>
      <w:pPr>
        <w:tabs>
          <w:tab w:val="num" w:pos="0"/>
        </w:tabs>
        <w:ind w:left="4320" w:hanging="1440"/>
      </w:pPr>
      <w:rPr/>
    </w:lvl>
    <w:lvl w:ilvl="8">
      <w:start w:val="1"/>
      <w:numFmt w:val="decimal"/>
      <w:lvlText w:val="%1.%2.%3.%4.%5.%6.%7.%8.%9."/>
      <w:lvlJc w:val="left"/>
      <w:pPr>
        <w:tabs>
          <w:tab w:val="num" w:pos="0"/>
        </w:tabs>
        <w:ind w:left="5040" w:hanging="1800"/>
      </w:pPr>
      <w:rPr/>
    </w:lvl>
  </w:abstractNum>
  <w:abstractNum w:abstractNumId="44">
    <w:lvl w:ilvl="0">
      <w:start w:val="1"/>
      <w:numFmt w:val="decimal"/>
      <w:lvlText w:val="%1."/>
      <w:lvlJc w:val="left"/>
      <w:pPr>
        <w:tabs>
          <w:tab w:val="num" w:pos="0"/>
        </w:tabs>
        <w:ind w:left="720" w:hanging="360"/>
      </w:pPr>
      <w:rPr>
        <w:b w:val="false"/>
      </w:rPr>
    </w:lvl>
    <w:lvl w:ilvl="1">
      <w:start w:val="1"/>
      <w:numFmt w:val="decimal"/>
      <w:lvlText w:val="%1.%2."/>
      <w:lvlJc w:val="left"/>
      <w:pPr>
        <w:tabs>
          <w:tab w:val="num" w:pos="0"/>
        </w:tabs>
        <w:ind w:left="1140" w:hanging="420"/>
      </w:pPr>
      <w:rPr>
        <w:color w:val="auto"/>
      </w:rPr>
    </w:lvl>
    <w:lvl w:ilvl="2">
      <w:start w:val="1"/>
      <w:numFmt w:val="decimal"/>
      <w:lvlText w:val="%1.%2.%3."/>
      <w:lvlJc w:val="left"/>
      <w:pPr>
        <w:tabs>
          <w:tab w:val="num" w:pos="0"/>
        </w:tabs>
        <w:ind w:left="1800" w:hanging="720"/>
      </w:pPr>
      <w:rPr/>
    </w:lvl>
    <w:lvl w:ilvl="3">
      <w:start w:val="1"/>
      <w:numFmt w:val="decimal"/>
      <w:lvlText w:val="%1.%2.%3.%4."/>
      <w:lvlJc w:val="left"/>
      <w:pPr>
        <w:tabs>
          <w:tab w:val="num" w:pos="0"/>
        </w:tabs>
        <w:ind w:left="2160" w:hanging="720"/>
      </w:pPr>
      <w:rPr/>
    </w:lvl>
    <w:lvl w:ilvl="4">
      <w:start w:val="1"/>
      <w:numFmt w:val="decimal"/>
      <w:lvlText w:val="%1.%2.%3.%4.%5."/>
      <w:lvlJc w:val="left"/>
      <w:pPr>
        <w:tabs>
          <w:tab w:val="num" w:pos="0"/>
        </w:tabs>
        <w:ind w:left="2880" w:hanging="1080"/>
      </w:pPr>
      <w:rPr/>
    </w:lvl>
    <w:lvl w:ilvl="5">
      <w:start w:val="1"/>
      <w:numFmt w:val="decimal"/>
      <w:lvlText w:val="%1.%2.%3.%4.%5.%6."/>
      <w:lvlJc w:val="left"/>
      <w:pPr>
        <w:tabs>
          <w:tab w:val="num" w:pos="0"/>
        </w:tabs>
        <w:ind w:left="3240" w:hanging="1080"/>
      </w:pPr>
      <w:rPr/>
    </w:lvl>
    <w:lvl w:ilvl="6">
      <w:start w:val="1"/>
      <w:numFmt w:val="decimal"/>
      <w:lvlText w:val="%1.%2.%3.%4.%5.%6.%7."/>
      <w:lvlJc w:val="left"/>
      <w:pPr>
        <w:tabs>
          <w:tab w:val="num" w:pos="0"/>
        </w:tabs>
        <w:ind w:left="3960" w:hanging="1440"/>
      </w:pPr>
      <w:rPr/>
    </w:lvl>
    <w:lvl w:ilvl="7">
      <w:start w:val="1"/>
      <w:numFmt w:val="decimal"/>
      <w:lvlText w:val="%1.%2.%3.%4.%5.%6.%7.%8."/>
      <w:lvlJc w:val="left"/>
      <w:pPr>
        <w:tabs>
          <w:tab w:val="num" w:pos="0"/>
        </w:tabs>
        <w:ind w:left="4320" w:hanging="1440"/>
      </w:pPr>
      <w:rPr/>
    </w:lvl>
    <w:lvl w:ilvl="8">
      <w:start w:val="1"/>
      <w:numFmt w:val="decimal"/>
      <w:lvlText w:val="%1.%2.%3.%4.%5.%6.%7.%8.%9."/>
      <w:lvlJc w:val="left"/>
      <w:pPr>
        <w:tabs>
          <w:tab w:val="num" w:pos="0"/>
        </w:tabs>
        <w:ind w:left="5040" w:hanging="1800"/>
      </w:pPr>
      <w:rPr/>
    </w:lvl>
  </w:abstractNum>
  <w:abstractNum w:abstractNumId="45">
    <w:lvl w:ilvl="0">
      <w:start w:val="1"/>
      <w:numFmt w:val="decimal"/>
      <w:lvlText w:val="%1."/>
      <w:lvlJc w:val="left"/>
      <w:pPr>
        <w:tabs>
          <w:tab w:val="num" w:pos="0"/>
        </w:tabs>
        <w:ind w:left="720" w:hanging="360"/>
      </w:pPr>
      <w:rPr>
        <w:b w:val="false"/>
      </w:rPr>
    </w:lvl>
    <w:lvl w:ilvl="1">
      <w:start w:val="1"/>
      <w:numFmt w:val="decimal"/>
      <w:lvlText w:val="%1.%2."/>
      <w:lvlJc w:val="left"/>
      <w:pPr>
        <w:tabs>
          <w:tab w:val="num" w:pos="0"/>
        </w:tabs>
        <w:ind w:left="1140" w:hanging="420"/>
      </w:pPr>
      <w:rPr>
        <w:color w:val="auto"/>
      </w:rPr>
    </w:lvl>
    <w:lvl w:ilvl="2">
      <w:start w:val="1"/>
      <w:numFmt w:val="decimal"/>
      <w:lvlText w:val="%1.%2.%3."/>
      <w:lvlJc w:val="left"/>
      <w:pPr>
        <w:tabs>
          <w:tab w:val="num" w:pos="0"/>
        </w:tabs>
        <w:ind w:left="1800" w:hanging="720"/>
      </w:pPr>
      <w:rPr/>
    </w:lvl>
    <w:lvl w:ilvl="3">
      <w:start w:val="1"/>
      <w:numFmt w:val="decimal"/>
      <w:lvlText w:val="%1.%2.%3.%4."/>
      <w:lvlJc w:val="left"/>
      <w:pPr>
        <w:tabs>
          <w:tab w:val="num" w:pos="0"/>
        </w:tabs>
        <w:ind w:left="2160" w:hanging="720"/>
      </w:pPr>
      <w:rPr/>
    </w:lvl>
    <w:lvl w:ilvl="4">
      <w:start w:val="1"/>
      <w:numFmt w:val="decimal"/>
      <w:lvlText w:val="%1.%2.%3.%4.%5."/>
      <w:lvlJc w:val="left"/>
      <w:pPr>
        <w:tabs>
          <w:tab w:val="num" w:pos="0"/>
        </w:tabs>
        <w:ind w:left="2880" w:hanging="1080"/>
      </w:pPr>
      <w:rPr/>
    </w:lvl>
    <w:lvl w:ilvl="5">
      <w:start w:val="1"/>
      <w:numFmt w:val="decimal"/>
      <w:lvlText w:val="%1.%2.%3.%4.%5.%6."/>
      <w:lvlJc w:val="left"/>
      <w:pPr>
        <w:tabs>
          <w:tab w:val="num" w:pos="0"/>
        </w:tabs>
        <w:ind w:left="3240" w:hanging="1080"/>
      </w:pPr>
      <w:rPr/>
    </w:lvl>
    <w:lvl w:ilvl="6">
      <w:start w:val="1"/>
      <w:numFmt w:val="decimal"/>
      <w:lvlText w:val="%1.%2.%3.%4.%5.%6.%7."/>
      <w:lvlJc w:val="left"/>
      <w:pPr>
        <w:tabs>
          <w:tab w:val="num" w:pos="0"/>
        </w:tabs>
        <w:ind w:left="3960" w:hanging="1440"/>
      </w:pPr>
      <w:rPr/>
    </w:lvl>
    <w:lvl w:ilvl="7">
      <w:start w:val="1"/>
      <w:numFmt w:val="decimal"/>
      <w:lvlText w:val="%1.%2.%3.%4.%5.%6.%7.%8."/>
      <w:lvlJc w:val="left"/>
      <w:pPr>
        <w:tabs>
          <w:tab w:val="num" w:pos="0"/>
        </w:tabs>
        <w:ind w:left="4320" w:hanging="1440"/>
      </w:pPr>
      <w:rPr/>
    </w:lvl>
    <w:lvl w:ilvl="8">
      <w:start w:val="1"/>
      <w:numFmt w:val="decimal"/>
      <w:lvlText w:val="%1.%2.%3.%4.%5.%6.%7.%8.%9."/>
      <w:lvlJc w:val="left"/>
      <w:pPr>
        <w:tabs>
          <w:tab w:val="num" w:pos="0"/>
        </w:tabs>
        <w:ind w:left="5040" w:hanging="1800"/>
      </w:pPr>
      <w:rPr/>
    </w:lvl>
  </w:abstractNum>
  <w:abstractNum w:abstractNumId="46">
    <w:lvl w:ilvl="0">
      <w:start w:val="1"/>
      <w:numFmt w:val="decimal"/>
      <w:lvlText w:val="%1."/>
      <w:lvlJc w:val="left"/>
      <w:pPr>
        <w:tabs>
          <w:tab w:val="num" w:pos="0"/>
        </w:tabs>
        <w:ind w:left="720" w:hanging="360"/>
      </w:pPr>
      <w:rPr>
        <w:b w:val="false"/>
      </w:rPr>
    </w:lvl>
    <w:lvl w:ilvl="1">
      <w:start w:val="1"/>
      <w:numFmt w:val="decimal"/>
      <w:lvlText w:val="%1.%2."/>
      <w:lvlJc w:val="left"/>
      <w:pPr>
        <w:tabs>
          <w:tab w:val="num" w:pos="0"/>
        </w:tabs>
        <w:ind w:left="1140" w:hanging="420"/>
      </w:pPr>
      <w:rPr>
        <w:color w:val="auto"/>
      </w:rPr>
    </w:lvl>
    <w:lvl w:ilvl="2">
      <w:start w:val="1"/>
      <w:numFmt w:val="decimal"/>
      <w:lvlText w:val="%1.%2.%3."/>
      <w:lvlJc w:val="left"/>
      <w:pPr>
        <w:tabs>
          <w:tab w:val="num" w:pos="0"/>
        </w:tabs>
        <w:ind w:left="1800" w:hanging="720"/>
      </w:pPr>
      <w:rPr/>
    </w:lvl>
    <w:lvl w:ilvl="3">
      <w:start w:val="1"/>
      <w:numFmt w:val="decimal"/>
      <w:lvlText w:val="%1.%2.%3.%4."/>
      <w:lvlJc w:val="left"/>
      <w:pPr>
        <w:tabs>
          <w:tab w:val="num" w:pos="0"/>
        </w:tabs>
        <w:ind w:left="2160" w:hanging="720"/>
      </w:pPr>
      <w:rPr/>
    </w:lvl>
    <w:lvl w:ilvl="4">
      <w:start w:val="1"/>
      <w:numFmt w:val="decimal"/>
      <w:lvlText w:val="%1.%2.%3.%4.%5."/>
      <w:lvlJc w:val="left"/>
      <w:pPr>
        <w:tabs>
          <w:tab w:val="num" w:pos="0"/>
        </w:tabs>
        <w:ind w:left="2880" w:hanging="1080"/>
      </w:pPr>
      <w:rPr/>
    </w:lvl>
    <w:lvl w:ilvl="5">
      <w:start w:val="1"/>
      <w:numFmt w:val="decimal"/>
      <w:lvlText w:val="%1.%2.%3.%4.%5.%6."/>
      <w:lvlJc w:val="left"/>
      <w:pPr>
        <w:tabs>
          <w:tab w:val="num" w:pos="0"/>
        </w:tabs>
        <w:ind w:left="3240" w:hanging="1080"/>
      </w:pPr>
      <w:rPr/>
    </w:lvl>
    <w:lvl w:ilvl="6">
      <w:start w:val="1"/>
      <w:numFmt w:val="decimal"/>
      <w:lvlText w:val="%1.%2.%3.%4.%5.%6.%7."/>
      <w:lvlJc w:val="left"/>
      <w:pPr>
        <w:tabs>
          <w:tab w:val="num" w:pos="0"/>
        </w:tabs>
        <w:ind w:left="3960" w:hanging="1440"/>
      </w:pPr>
      <w:rPr/>
    </w:lvl>
    <w:lvl w:ilvl="7">
      <w:start w:val="1"/>
      <w:numFmt w:val="decimal"/>
      <w:lvlText w:val="%1.%2.%3.%4.%5.%6.%7.%8."/>
      <w:lvlJc w:val="left"/>
      <w:pPr>
        <w:tabs>
          <w:tab w:val="num" w:pos="0"/>
        </w:tabs>
        <w:ind w:left="4320" w:hanging="1440"/>
      </w:pPr>
      <w:rPr/>
    </w:lvl>
    <w:lvl w:ilvl="8">
      <w:start w:val="1"/>
      <w:numFmt w:val="decimal"/>
      <w:lvlText w:val="%1.%2.%3.%4.%5.%6.%7.%8.%9."/>
      <w:lvlJc w:val="left"/>
      <w:pPr>
        <w:tabs>
          <w:tab w:val="num" w:pos="0"/>
        </w:tabs>
        <w:ind w:left="5040" w:hanging="1800"/>
      </w:pPr>
      <w:rPr/>
    </w:lvl>
  </w:abstractNum>
  <w:abstractNum w:abstractNumId="47">
    <w:lvl w:ilvl="0">
      <w:start w:val="1"/>
      <w:numFmt w:val="decimal"/>
      <w:lvlText w:val="%1."/>
      <w:lvlJc w:val="left"/>
      <w:pPr>
        <w:tabs>
          <w:tab w:val="num" w:pos="0"/>
        </w:tabs>
        <w:ind w:left="720" w:hanging="360"/>
      </w:pPr>
      <w:rPr>
        <w:b w:val="false"/>
      </w:rPr>
    </w:lvl>
    <w:lvl w:ilvl="1">
      <w:start w:val="1"/>
      <w:numFmt w:val="decimal"/>
      <w:lvlText w:val="%1.%2."/>
      <w:lvlJc w:val="left"/>
      <w:pPr>
        <w:tabs>
          <w:tab w:val="num" w:pos="0"/>
        </w:tabs>
        <w:ind w:left="1140" w:hanging="420"/>
      </w:pPr>
      <w:rPr>
        <w:color w:val="auto"/>
      </w:rPr>
    </w:lvl>
    <w:lvl w:ilvl="2">
      <w:start w:val="1"/>
      <w:numFmt w:val="decimal"/>
      <w:lvlText w:val="%1.%2.%3."/>
      <w:lvlJc w:val="left"/>
      <w:pPr>
        <w:tabs>
          <w:tab w:val="num" w:pos="0"/>
        </w:tabs>
        <w:ind w:left="1800" w:hanging="720"/>
      </w:pPr>
      <w:rPr/>
    </w:lvl>
    <w:lvl w:ilvl="3">
      <w:start w:val="1"/>
      <w:numFmt w:val="decimal"/>
      <w:lvlText w:val="%1.%2.%3.%4."/>
      <w:lvlJc w:val="left"/>
      <w:pPr>
        <w:tabs>
          <w:tab w:val="num" w:pos="0"/>
        </w:tabs>
        <w:ind w:left="2160" w:hanging="720"/>
      </w:pPr>
      <w:rPr/>
    </w:lvl>
    <w:lvl w:ilvl="4">
      <w:start w:val="1"/>
      <w:numFmt w:val="decimal"/>
      <w:lvlText w:val="%1.%2.%3.%4.%5."/>
      <w:lvlJc w:val="left"/>
      <w:pPr>
        <w:tabs>
          <w:tab w:val="num" w:pos="0"/>
        </w:tabs>
        <w:ind w:left="2880" w:hanging="1080"/>
      </w:pPr>
      <w:rPr/>
    </w:lvl>
    <w:lvl w:ilvl="5">
      <w:start w:val="1"/>
      <w:numFmt w:val="decimal"/>
      <w:lvlText w:val="%1.%2.%3.%4.%5.%6."/>
      <w:lvlJc w:val="left"/>
      <w:pPr>
        <w:tabs>
          <w:tab w:val="num" w:pos="0"/>
        </w:tabs>
        <w:ind w:left="3240" w:hanging="1080"/>
      </w:pPr>
      <w:rPr/>
    </w:lvl>
    <w:lvl w:ilvl="6">
      <w:start w:val="1"/>
      <w:numFmt w:val="decimal"/>
      <w:lvlText w:val="%1.%2.%3.%4.%5.%6.%7."/>
      <w:lvlJc w:val="left"/>
      <w:pPr>
        <w:tabs>
          <w:tab w:val="num" w:pos="0"/>
        </w:tabs>
        <w:ind w:left="3960" w:hanging="1440"/>
      </w:pPr>
      <w:rPr/>
    </w:lvl>
    <w:lvl w:ilvl="7">
      <w:start w:val="1"/>
      <w:numFmt w:val="decimal"/>
      <w:lvlText w:val="%1.%2.%3.%4.%5.%6.%7.%8."/>
      <w:lvlJc w:val="left"/>
      <w:pPr>
        <w:tabs>
          <w:tab w:val="num" w:pos="0"/>
        </w:tabs>
        <w:ind w:left="4320" w:hanging="1440"/>
      </w:pPr>
      <w:rPr/>
    </w:lvl>
    <w:lvl w:ilvl="8">
      <w:start w:val="1"/>
      <w:numFmt w:val="decimal"/>
      <w:lvlText w:val="%1.%2.%3.%4.%5.%6.%7.%8.%9."/>
      <w:lvlJc w:val="left"/>
      <w:pPr>
        <w:tabs>
          <w:tab w:val="num" w:pos="0"/>
        </w:tabs>
        <w:ind w:left="5040" w:hanging="1800"/>
      </w:pPr>
      <w:rPr/>
    </w:lvl>
  </w:abstractNum>
  <w:abstractNum w:abstractNumId="48">
    <w:lvl w:ilvl="0">
      <w:start w:val="1"/>
      <w:numFmt w:val="decimal"/>
      <w:lvlText w:val="%1."/>
      <w:lvlJc w:val="left"/>
      <w:pPr>
        <w:tabs>
          <w:tab w:val="num" w:pos="0"/>
        </w:tabs>
        <w:ind w:left="720" w:hanging="360"/>
      </w:pPr>
      <w:rPr>
        <w:b w:val="false"/>
      </w:rPr>
    </w:lvl>
    <w:lvl w:ilvl="1">
      <w:start w:val="1"/>
      <w:numFmt w:val="decimal"/>
      <w:lvlText w:val="%1.%2."/>
      <w:lvlJc w:val="left"/>
      <w:pPr>
        <w:tabs>
          <w:tab w:val="num" w:pos="0"/>
        </w:tabs>
        <w:ind w:left="1140" w:hanging="420"/>
      </w:pPr>
      <w:rPr>
        <w:color w:val="auto"/>
      </w:rPr>
    </w:lvl>
    <w:lvl w:ilvl="2">
      <w:start w:val="1"/>
      <w:numFmt w:val="decimal"/>
      <w:lvlText w:val="%1.%2.%3."/>
      <w:lvlJc w:val="left"/>
      <w:pPr>
        <w:tabs>
          <w:tab w:val="num" w:pos="0"/>
        </w:tabs>
        <w:ind w:left="1800" w:hanging="720"/>
      </w:pPr>
      <w:rPr/>
    </w:lvl>
    <w:lvl w:ilvl="3">
      <w:start w:val="1"/>
      <w:numFmt w:val="decimal"/>
      <w:lvlText w:val="%1.%2.%3.%4."/>
      <w:lvlJc w:val="left"/>
      <w:pPr>
        <w:tabs>
          <w:tab w:val="num" w:pos="0"/>
        </w:tabs>
        <w:ind w:left="2160" w:hanging="720"/>
      </w:pPr>
      <w:rPr/>
    </w:lvl>
    <w:lvl w:ilvl="4">
      <w:start w:val="1"/>
      <w:numFmt w:val="decimal"/>
      <w:lvlText w:val="%1.%2.%3.%4.%5."/>
      <w:lvlJc w:val="left"/>
      <w:pPr>
        <w:tabs>
          <w:tab w:val="num" w:pos="0"/>
        </w:tabs>
        <w:ind w:left="2880" w:hanging="1080"/>
      </w:pPr>
      <w:rPr/>
    </w:lvl>
    <w:lvl w:ilvl="5">
      <w:start w:val="1"/>
      <w:numFmt w:val="decimal"/>
      <w:lvlText w:val="%1.%2.%3.%4.%5.%6."/>
      <w:lvlJc w:val="left"/>
      <w:pPr>
        <w:tabs>
          <w:tab w:val="num" w:pos="0"/>
        </w:tabs>
        <w:ind w:left="3240" w:hanging="1080"/>
      </w:pPr>
      <w:rPr/>
    </w:lvl>
    <w:lvl w:ilvl="6">
      <w:start w:val="1"/>
      <w:numFmt w:val="decimal"/>
      <w:lvlText w:val="%1.%2.%3.%4.%5.%6.%7."/>
      <w:lvlJc w:val="left"/>
      <w:pPr>
        <w:tabs>
          <w:tab w:val="num" w:pos="0"/>
        </w:tabs>
        <w:ind w:left="3960" w:hanging="1440"/>
      </w:pPr>
      <w:rPr/>
    </w:lvl>
    <w:lvl w:ilvl="7">
      <w:start w:val="1"/>
      <w:numFmt w:val="decimal"/>
      <w:lvlText w:val="%1.%2.%3.%4.%5.%6.%7.%8."/>
      <w:lvlJc w:val="left"/>
      <w:pPr>
        <w:tabs>
          <w:tab w:val="num" w:pos="0"/>
        </w:tabs>
        <w:ind w:left="4320" w:hanging="1440"/>
      </w:pPr>
      <w:rPr/>
    </w:lvl>
    <w:lvl w:ilvl="8">
      <w:start w:val="1"/>
      <w:numFmt w:val="decimal"/>
      <w:lvlText w:val="%1.%2.%3.%4.%5.%6.%7.%8.%9."/>
      <w:lvlJc w:val="left"/>
      <w:pPr>
        <w:tabs>
          <w:tab w:val="num" w:pos="0"/>
        </w:tabs>
        <w:ind w:left="5040" w:hanging="1800"/>
      </w:pPr>
      <w:rPr/>
    </w:lvl>
  </w:abstractNum>
  <w:abstractNum w:abstractNumId="49">
    <w:lvl w:ilvl="0">
      <w:start w:val="1"/>
      <w:numFmt w:val="decimal"/>
      <w:lvlText w:val="%1."/>
      <w:lvlJc w:val="left"/>
      <w:pPr>
        <w:tabs>
          <w:tab w:val="num" w:pos="0"/>
        </w:tabs>
        <w:ind w:left="720" w:hanging="360"/>
      </w:pPr>
      <w:rPr>
        <w:b w:val="false"/>
      </w:rPr>
    </w:lvl>
    <w:lvl w:ilvl="1">
      <w:start w:val="1"/>
      <w:numFmt w:val="decimal"/>
      <w:lvlText w:val="%1.%2."/>
      <w:lvlJc w:val="left"/>
      <w:pPr>
        <w:tabs>
          <w:tab w:val="num" w:pos="0"/>
        </w:tabs>
        <w:ind w:left="1140" w:hanging="420"/>
      </w:pPr>
      <w:rPr>
        <w:color w:val="auto"/>
      </w:rPr>
    </w:lvl>
    <w:lvl w:ilvl="2">
      <w:start w:val="1"/>
      <w:numFmt w:val="decimal"/>
      <w:lvlText w:val="%1.%2.%3."/>
      <w:lvlJc w:val="left"/>
      <w:pPr>
        <w:tabs>
          <w:tab w:val="num" w:pos="0"/>
        </w:tabs>
        <w:ind w:left="1800" w:hanging="720"/>
      </w:pPr>
      <w:rPr/>
    </w:lvl>
    <w:lvl w:ilvl="3">
      <w:start w:val="1"/>
      <w:numFmt w:val="decimal"/>
      <w:lvlText w:val="%1.%2.%3.%4."/>
      <w:lvlJc w:val="left"/>
      <w:pPr>
        <w:tabs>
          <w:tab w:val="num" w:pos="0"/>
        </w:tabs>
        <w:ind w:left="2160" w:hanging="720"/>
      </w:pPr>
      <w:rPr/>
    </w:lvl>
    <w:lvl w:ilvl="4">
      <w:start w:val="1"/>
      <w:numFmt w:val="decimal"/>
      <w:lvlText w:val="%1.%2.%3.%4.%5."/>
      <w:lvlJc w:val="left"/>
      <w:pPr>
        <w:tabs>
          <w:tab w:val="num" w:pos="0"/>
        </w:tabs>
        <w:ind w:left="2880" w:hanging="1080"/>
      </w:pPr>
      <w:rPr/>
    </w:lvl>
    <w:lvl w:ilvl="5">
      <w:start w:val="1"/>
      <w:numFmt w:val="decimal"/>
      <w:lvlText w:val="%1.%2.%3.%4.%5.%6."/>
      <w:lvlJc w:val="left"/>
      <w:pPr>
        <w:tabs>
          <w:tab w:val="num" w:pos="0"/>
        </w:tabs>
        <w:ind w:left="3240" w:hanging="1080"/>
      </w:pPr>
      <w:rPr/>
    </w:lvl>
    <w:lvl w:ilvl="6">
      <w:start w:val="1"/>
      <w:numFmt w:val="decimal"/>
      <w:lvlText w:val="%1.%2.%3.%4.%5.%6.%7."/>
      <w:lvlJc w:val="left"/>
      <w:pPr>
        <w:tabs>
          <w:tab w:val="num" w:pos="0"/>
        </w:tabs>
        <w:ind w:left="3960" w:hanging="1440"/>
      </w:pPr>
      <w:rPr/>
    </w:lvl>
    <w:lvl w:ilvl="7">
      <w:start w:val="1"/>
      <w:numFmt w:val="decimal"/>
      <w:lvlText w:val="%1.%2.%3.%4.%5.%6.%7.%8."/>
      <w:lvlJc w:val="left"/>
      <w:pPr>
        <w:tabs>
          <w:tab w:val="num" w:pos="0"/>
        </w:tabs>
        <w:ind w:left="4320" w:hanging="1440"/>
      </w:pPr>
      <w:rPr/>
    </w:lvl>
    <w:lvl w:ilvl="8">
      <w:start w:val="1"/>
      <w:numFmt w:val="decimal"/>
      <w:lvlText w:val="%1.%2.%3.%4.%5.%6.%7.%8.%9."/>
      <w:lvlJc w:val="left"/>
      <w:pPr>
        <w:tabs>
          <w:tab w:val="num" w:pos="0"/>
        </w:tabs>
        <w:ind w:left="5040" w:hanging="1800"/>
      </w:pPr>
      <w:rPr/>
    </w:lvl>
  </w:abstractNum>
  <w:abstractNum w:abstractNumId="50">
    <w:lvl w:ilvl="0">
      <w:start w:val="1"/>
      <w:numFmt w:val="decimal"/>
      <w:lvlText w:val="%1."/>
      <w:lvlJc w:val="left"/>
      <w:pPr>
        <w:tabs>
          <w:tab w:val="num" w:pos="0"/>
        </w:tabs>
        <w:ind w:left="720" w:hanging="360"/>
      </w:pPr>
      <w:rPr>
        <w:b w:val="false"/>
      </w:rPr>
    </w:lvl>
    <w:lvl w:ilvl="1">
      <w:start w:val="1"/>
      <w:numFmt w:val="decimal"/>
      <w:lvlText w:val="%1.%2."/>
      <w:lvlJc w:val="left"/>
      <w:pPr>
        <w:tabs>
          <w:tab w:val="num" w:pos="0"/>
        </w:tabs>
        <w:ind w:left="1140" w:hanging="420"/>
      </w:pPr>
      <w:rPr>
        <w:color w:val="auto"/>
      </w:rPr>
    </w:lvl>
    <w:lvl w:ilvl="2">
      <w:start w:val="1"/>
      <w:numFmt w:val="decimal"/>
      <w:lvlText w:val="%1.%2.%3."/>
      <w:lvlJc w:val="left"/>
      <w:pPr>
        <w:tabs>
          <w:tab w:val="num" w:pos="0"/>
        </w:tabs>
        <w:ind w:left="1800" w:hanging="720"/>
      </w:pPr>
      <w:rPr/>
    </w:lvl>
    <w:lvl w:ilvl="3">
      <w:start w:val="1"/>
      <w:numFmt w:val="decimal"/>
      <w:lvlText w:val="%1.%2.%3.%4."/>
      <w:lvlJc w:val="left"/>
      <w:pPr>
        <w:tabs>
          <w:tab w:val="num" w:pos="0"/>
        </w:tabs>
        <w:ind w:left="2160" w:hanging="720"/>
      </w:pPr>
      <w:rPr/>
    </w:lvl>
    <w:lvl w:ilvl="4">
      <w:start w:val="1"/>
      <w:numFmt w:val="decimal"/>
      <w:lvlText w:val="%1.%2.%3.%4.%5."/>
      <w:lvlJc w:val="left"/>
      <w:pPr>
        <w:tabs>
          <w:tab w:val="num" w:pos="0"/>
        </w:tabs>
        <w:ind w:left="2880" w:hanging="1080"/>
      </w:pPr>
      <w:rPr/>
    </w:lvl>
    <w:lvl w:ilvl="5">
      <w:start w:val="1"/>
      <w:numFmt w:val="decimal"/>
      <w:lvlText w:val="%1.%2.%3.%4.%5.%6."/>
      <w:lvlJc w:val="left"/>
      <w:pPr>
        <w:tabs>
          <w:tab w:val="num" w:pos="0"/>
        </w:tabs>
        <w:ind w:left="3240" w:hanging="1080"/>
      </w:pPr>
      <w:rPr/>
    </w:lvl>
    <w:lvl w:ilvl="6">
      <w:start w:val="1"/>
      <w:numFmt w:val="decimal"/>
      <w:lvlText w:val="%1.%2.%3.%4.%5.%6.%7."/>
      <w:lvlJc w:val="left"/>
      <w:pPr>
        <w:tabs>
          <w:tab w:val="num" w:pos="0"/>
        </w:tabs>
        <w:ind w:left="3960" w:hanging="1440"/>
      </w:pPr>
      <w:rPr/>
    </w:lvl>
    <w:lvl w:ilvl="7">
      <w:start w:val="1"/>
      <w:numFmt w:val="decimal"/>
      <w:lvlText w:val="%1.%2.%3.%4.%5.%6.%7.%8."/>
      <w:lvlJc w:val="left"/>
      <w:pPr>
        <w:tabs>
          <w:tab w:val="num" w:pos="0"/>
        </w:tabs>
        <w:ind w:left="4320" w:hanging="1440"/>
      </w:pPr>
      <w:rPr/>
    </w:lvl>
    <w:lvl w:ilvl="8">
      <w:start w:val="1"/>
      <w:numFmt w:val="decimal"/>
      <w:lvlText w:val="%1.%2.%3.%4.%5.%6.%7.%8.%9."/>
      <w:lvlJc w:val="left"/>
      <w:pPr>
        <w:tabs>
          <w:tab w:val="num" w:pos="0"/>
        </w:tabs>
        <w:ind w:left="5040" w:hanging="1800"/>
      </w:pPr>
      <w:rPr/>
    </w:lvl>
  </w:abstractNum>
  <w:abstractNum w:abstractNumId="51">
    <w:lvl w:ilvl="0">
      <w:start w:val="1"/>
      <w:numFmt w:val="decimal"/>
      <w:lvlText w:val="%1."/>
      <w:lvlJc w:val="left"/>
      <w:pPr>
        <w:tabs>
          <w:tab w:val="num" w:pos="0"/>
        </w:tabs>
        <w:ind w:left="720" w:hanging="360"/>
      </w:pPr>
      <w:rPr>
        <w:b w:val="false"/>
      </w:rPr>
    </w:lvl>
    <w:lvl w:ilvl="1">
      <w:start w:val="1"/>
      <w:numFmt w:val="decimal"/>
      <w:lvlText w:val="%1.%2."/>
      <w:lvlJc w:val="left"/>
      <w:pPr>
        <w:tabs>
          <w:tab w:val="num" w:pos="0"/>
        </w:tabs>
        <w:ind w:left="1140" w:hanging="420"/>
      </w:pPr>
      <w:rPr>
        <w:color w:val="auto"/>
      </w:rPr>
    </w:lvl>
    <w:lvl w:ilvl="2">
      <w:start w:val="1"/>
      <w:numFmt w:val="decimal"/>
      <w:lvlText w:val="%1.%2.%3."/>
      <w:lvlJc w:val="left"/>
      <w:pPr>
        <w:tabs>
          <w:tab w:val="num" w:pos="0"/>
        </w:tabs>
        <w:ind w:left="1800" w:hanging="720"/>
      </w:pPr>
      <w:rPr/>
    </w:lvl>
    <w:lvl w:ilvl="3">
      <w:start w:val="1"/>
      <w:numFmt w:val="decimal"/>
      <w:lvlText w:val="%1.%2.%3.%4."/>
      <w:lvlJc w:val="left"/>
      <w:pPr>
        <w:tabs>
          <w:tab w:val="num" w:pos="0"/>
        </w:tabs>
        <w:ind w:left="2160" w:hanging="720"/>
      </w:pPr>
      <w:rPr/>
    </w:lvl>
    <w:lvl w:ilvl="4">
      <w:start w:val="1"/>
      <w:numFmt w:val="decimal"/>
      <w:lvlText w:val="%1.%2.%3.%4.%5."/>
      <w:lvlJc w:val="left"/>
      <w:pPr>
        <w:tabs>
          <w:tab w:val="num" w:pos="0"/>
        </w:tabs>
        <w:ind w:left="2880" w:hanging="1080"/>
      </w:pPr>
      <w:rPr/>
    </w:lvl>
    <w:lvl w:ilvl="5">
      <w:start w:val="1"/>
      <w:numFmt w:val="decimal"/>
      <w:lvlText w:val="%1.%2.%3.%4.%5.%6."/>
      <w:lvlJc w:val="left"/>
      <w:pPr>
        <w:tabs>
          <w:tab w:val="num" w:pos="0"/>
        </w:tabs>
        <w:ind w:left="3240" w:hanging="1080"/>
      </w:pPr>
      <w:rPr/>
    </w:lvl>
    <w:lvl w:ilvl="6">
      <w:start w:val="1"/>
      <w:numFmt w:val="decimal"/>
      <w:lvlText w:val="%1.%2.%3.%4.%5.%6.%7."/>
      <w:lvlJc w:val="left"/>
      <w:pPr>
        <w:tabs>
          <w:tab w:val="num" w:pos="0"/>
        </w:tabs>
        <w:ind w:left="3960" w:hanging="1440"/>
      </w:pPr>
      <w:rPr/>
    </w:lvl>
    <w:lvl w:ilvl="7">
      <w:start w:val="1"/>
      <w:numFmt w:val="decimal"/>
      <w:lvlText w:val="%1.%2.%3.%4.%5.%6.%7.%8."/>
      <w:lvlJc w:val="left"/>
      <w:pPr>
        <w:tabs>
          <w:tab w:val="num" w:pos="0"/>
        </w:tabs>
        <w:ind w:left="4320" w:hanging="1440"/>
      </w:pPr>
      <w:rPr/>
    </w:lvl>
    <w:lvl w:ilvl="8">
      <w:start w:val="1"/>
      <w:numFmt w:val="decimal"/>
      <w:lvlText w:val="%1.%2.%3.%4.%5.%6.%7.%8.%9."/>
      <w:lvlJc w:val="left"/>
      <w:pPr>
        <w:tabs>
          <w:tab w:val="num" w:pos="0"/>
        </w:tabs>
        <w:ind w:left="5040" w:hanging="1800"/>
      </w:pPr>
      <w:rPr/>
    </w:lvl>
  </w:abstractNum>
  <w:abstractNum w:abstractNumId="52">
    <w:lvl w:ilvl="0">
      <w:start w:val="1"/>
      <w:numFmt w:val="decimal"/>
      <w:lvlText w:val="%1."/>
      <w:lvlJc w:val="left"/>
      <w:pPr>
        <w:tabs>
          <w:tab w:val="num" w:pos="0"/>
        </w:tabs>
        <w:ind w:left="720" w:hanging="360"/>
      </w:pPr>
      <w:rPr>
        <w:b w:val="false"/>
      </w:rPr>
    </w:lvl>
    <w:lvl w:ilvl="1">
      <w:start w:val="1"/>
      <w:numFmt w:val="decimal"/>
      <w:lvlText w:val="%1.%2."/>
      <w:lvlJc w:val="left"/>
      <w:pPr>
        <w:tabs>
          <w:tab w:val="num" w:pos="0"/>
        </w:tabs>
        <w:ind w:left="1140" w:hanging="420"/>
      </w:pPr>
      <w:rPr>
        <w:color w:val="auto"/>
      </w:rPr>
    </w:lvl>
    <w:lvl w:ilvl="2">
      <w:start w:val="1"/>
      <w:numFmt w:val="decimal"/>
      <w:lvlText w:val="%1.%2.%3."/>
      <w:lvlJc w:val="left"/>
      <w:pPr>
        <w:tabs>
          <w:tab w:val="num" w:pos="0"/>
        </w:tabs>
        <w:ind w:left="1800" w:hanging="720"/>
      </w:pPr>
      <w:rPr/>
    </w:lvl>
    <w:lvl w:ilvl="3">
      <w:start w:val="1"/>
      <w:numFmt w:val="decimal"/>
      <w:lvlText w:val="%1.%2.%3.%4."/>
      <w:lvlJc w:val="left"/>
      <w:pPr>
        <w:tabs>
          <w:tab w:val="num" w:pos="0"/>
        </w:tabs>
        <w:ind w:left="2160" w:hanging="720"/>
      </w:pPr>
      <w:rPr/>
    </w:lvl>
    <w:lvl w:ilvl="4">
      <w:start w:val="1"/>
      <w:numFmt w:val="decimal"/>
      <w:lvlText w:val="%1.%2.%3.%4.%5."/>
      <w:lvlJc w:val="left"/>
      <w:pPr>
        <w:tabs>
          <w:tab w:val="num" w:pos="0"/>
        </w:tabs>
        <w:ind w:left="2880" w:hanging="1080"/>
      </w:pPr>
      <w:rPr/>
    </w:lvl>
    <w:lvl w:ilvl="5">
      <w:start w:val="1"/>
      <w:numFmt w:val="decimal"/>
      <w:lvlText w:val="%1.%2.%3.%4.%5.%6."/>
      <w:lvlJc w:val="left"/>
      <w:pPr>
        <w:tabs>
          <w:tab w:val="num" w:pos="0"/>
        </w:tabs>
        <w:ind w:left="3240" w:hanging="1080"/>
      </w:pPr>
      <w:rPr/>
    </w:lvl>
    <w:lvl w:ilvl="6">
      <w:start w:val="1"/>
      <w:numFmt w:val="decimal"/>
      <w:lvlText w:val="%1.%2.%3.%4.%5.%6.%7."/>
      <w:lvlJc w:val="left"/>
      <w:pPr>
        <w:tabs>
          <w:tab w:val="num" w:pos="0"/>
        </w:tabs>
        <w:ind w:left="3960" w:hanging="1440"/>
      </w:pPr>
      <w:rPr/>
    </w:lvl>
    <w:lvl w:ilvl="7">
      <w:start w:val="1"/>
      <w:numFmt w:val="decimal"/>
      <w:lvlText w:val="%1.%2.%3.%4.%5.%6.%7.%8."/>
      <w:lvlJc w:val="left"/>
      <w:pPr>
        <w:tabs>
          <w:tab w:val="num" w:pos="0"/>
        </w:tabs>
        <w:ind w:left="4320" w:hanging="1440"/>
      </w:pPr>
      <w:rPr/>
    </w:lvl>
    <w:lvl w:ilvl="8">
      <w:start w:val="1"/>
      <w:numFmt w:val="decimal"/>
      <w:lvlText w:val="%1.%2.%3.%4.%5.%6.%7.%8.%9."/>
      <w:lvlJc w:val="left"/>
      <w:pPr>
        <w:tabs>
          <w:tab w:val="num" w:pos="0"/>
        </w:tabs>
        <w:ind w:left="5040" w:hanging="1800"/>
      </w:pPr>
      <w:rPr/>
    </w:lvl>
  </w:abstractNum>
  <w:abstractNum w:abstractNumId="53">
    <w:lvl w:ilvl="0">
      <w:start w:val="1"/>
      <w:numFmt w:val="decimal"/>
      <w:lvlText w:val="%1."/>
      <w:lvlJc w:val="left"/>
      <w:pPr>
        <w:tabs>
          <w:tab w:val="num" w:pos="0"/>
        </w:tabs>
        <w:ind w:left="720" w:hanging="360"/>
      </w:pPr>
      <w:rPr>
        <w:b w:val="false"/>
      </w:rPr>
    </w:lvl>
    <w:lvl w:ilvl="1">
      <w:start w:val="1"/>
      <w:numFmt w:val="decimal"/>
      <w:lvlText w:val="%1.%2."/>
      <w:lvlJc w:val="left"/>
      <w:pPr>
        <w:tabs>
          <w:tab w:val="num" w:pos="0"/>
        </w:tabs>
        <w:ind w:left="1140" w:hanging="420"/>
      </w:pPr>
      <w:rPr>
        <w:color w:val="auto"/>
      </w:rPr>
    </w:lvl>
    <w:lvl w:ilvl="2">
      <w:start w:val="1"/>
      <w:numFmt w:val="decimal"/>
      <w:lvlText w:val="%1.%2.%3."/>
      <w:lvlJc w:val="left"/>
      <w:pPr>
        <w:tabs>
          <w:tab w:val="num" w:pos="0"/>
        </w:tabs>
        <w:ind w:left="1800" w:hanging="720"/>
      </w:pPr>
      <w:rPr/>
    </w:lvl>
    <w:lvl w:ilvl="3">
      <w:start w:val="1"/>
      <w:numFmt w:val="decimal"/>
      <w:lvlText w:val="%1.%2.%3.%4."/>
      <w:lvlJc w:val="left"/>
      <w:pPr>
        <w:tabs>
          <w:tab w:val="num" w:pos="0"/>
        </w:tabs>
        <w:ind w:left="2160" w:hanging="720"/>
      </w:pPr>
      <w:rPr/>
    </w:lvl>
    <w:lvl w:ilvl="4">
      <w:start w:val="1"/>
      <w:numFmt w:val="decimal"/>
      <w:lvlText w:val="%1.%2.%3.%4.%5."/>
      <w:lvlJc w:val="left"/>
      <w:pPr>
        <w:tabs>
          <w:tab w:val="num" w:pos="0"/>
        </w:tabs>
        <w:ind w:left="2880" w:hanging="1080"/>
      </w:pPr>
      <w:rPr/>
    </w:lvl>
    <w:lvl w:ilvl="5">
      <w:start w:val="1"/>
      <w:numFmt w:val="decimal"/>
      <w:lvlText w:val="%1.%2.%3.%4.%5.%6."/>
      <w:lvlJc w:val="left"/>
      <w:pPr>
        <w:tabs>
          <w:tab w:val="num" w:pos="0"/>
        </w:tabs>
        <w:ind w:left="3240" w:hanging="1080"/>
      </w:pPr>
      <w:rPr/>
    </w:lvl>
    <w:lvl w:ilvl="6">
      <w:start w:val="1"/>
      <w:numFmt w:val="decimal"/>
      <w:lvlText w:val="%1.%2.%3.%4.%5.%6.%7."/>
      <w:lvlJc w:val="left"/>
      <w:pPr>
        <w:tabs>
          <w:tab w:val="num" w:pos="0"/>
        </w:tabs>
        <w:ind w:left="3960" w:hanging="1440"/>
      </w:pPr>
      <w:rPr/>
    </w:lvl>
    <w:lvl w:ilvl="7">
      <w:start w:val="1"/>
      <w:numFmt w:val="decimal"/>
      <w:lvlText w:val="%1.%2.%3.%4.%5.%6.%7.%8."/>
      <w:lvlJc w:val="left"/>
      <w:pPr>
        <w:tabs>
          <w:tab w:val="num" w:pos="0"/>
        </w:tabs>
        <w:ind w:left="4320" w:hanging="1440"/>
      </w:pPr>
      <w:rPr/>
    </w:lvl>
    <w:lvl w:ilvl="8">
      <w:start w:val="1"/>
      <w:numFmt w:val="decimal"/>
      <w:lvlText w:val="%1.%2.%3.%4.%5.%6.%7.%8.%9."/>
      <w:lvlJc w:val="left"/>
      <w:pPr>
        <w:tabs>
          <w:tab w:val="num" w:pos="0"/>
        </w:tabs>
        <w:ind w:left="5040" w:hanging="1800"/>
      </w:pPr>
      <w:rPr/>
    </w:lvl>
  </w:abstractNum>
  <w:abstractNum w:abstractNumId="54">
    <w:lvl w:ilvl="0">
      <w:start w:val="1"/>
      <w:numFmt w:val="decimal"/>
      <w:lvlText w:val="%1."/>
      <w:lvlJc w:val="left"/>
      <w:pPr>
        <w:tabs>
          <w:tab w:val="num" w:pos="0"/>
        </w:tabs>
        <w:ind w:left="720" w:hanging="360"/>
      </w:pPr>
      <w:rPr>
        <w:b w:val="false"/>
      </w:rPr>
    </w:lvl>
    <w:lvl w:ilvl="1">
      <w:start w:val="1"/>
      <w:numFmt w:val="decimal"/>
      <w:lvlText w:val="%1.%2."/>
      <w:lvlJc w:val="left"/>
      <w:pPr>
        <w:tabs>
          <w:tab w:val="num" w:pos="0"/>
        </w:tabs>
        <w:ind w:left="1140" w:hanging="420"/>
      </w:pPr>
      <w:rPr>
        <w:color w:val="auto"/>
      </w:rPr>
    </w:lvl>
    <w:lvl w:ilvl="2">
      <w:start w:val="1"/>
      <w:numFmt w:val="decimal"/>
      <w:lvlText w:val="%1.%2.%3."/>
      <w:lvlJc w:val="left"/>
      <w:pPr>
        <w:tabs>
          <w:tab w:val="num" w:pos="0"/>
        </w:tabs>
        <w:ind w:left="1800" w:hanging="720"/>
      </w:pPr>
      <w:rPr/>
    </w:lvl>
    <w:lvl w:ilvl="3">
      <w:start w:val="1"/>
      <w:numFmt w:val="decimal"/>
      <w:lvlText w:val="%1.%2.%3.%4."/>
      <w:lvlJc w:val="left"/>
      <w:pPr>
        <w:tabs>
          <w:tab w:val="num" w:pos="0"/>
        </w:tabs>
        <w:ind w:left="2160" w:hanging="720"/>
      </w:pPr>
      <w:rPr/>
    </w:lvl>
    <w:lvl w:ilvl="4">
      <w:start w:val="1"/>
      <w:numFmt w:val="decimal"/>
      <w:lvlText w:val="%1.%2.%3.%4.%5."/>
      <w:lvlJc w:val="left"/>
      <w:pPr>
        <w:tabs>
          <w:tab w:val="num" w:pos="0"/>
        </w:tabs>
        <w:ind w:left="2880" w:hanging="1080"/>
      </w:pPr>
      <w:rPr/>
    </w:lvl>
    <w:lvl w:ilvl="5">
      <w:start w:val="1"/>
      <w:numFmt w:val="decimal"/>
      <w:lvlText w:val="%1.%2.%3.%4.%5.%6."/>
      <w:lvlJc w:val="left"/>
      <w:pPr>
        <w:tabs>
          <w:tab w:val="num" w:pos="0"/>
        </w:tabs>
        <w:ind w:left="3240" w:hanging="1080"/>
      </w:pPr>
      <w:rPr/>
    </w:lvl>
    <w:lvl w:ilvl="6">
      <w:start w:val="1"/>
      <w:numFmt w:val="decimal"/>
      <w:lvlText w:val="%1.%2.%3.%4.%5.%6.%7."/>
      <w:lvlJc w:val="left"/>
      <w:pPr>
        <w:tabs>
          <w:tab w:val="num" w:pos="0"/>
        </w:tabs>
        <w:ind w:left="3960" w:hanging="1440"/>
      </w:pPr>
      <w:rPr/>
    </w:lvl>
    <w:lvl w:ilvl="7">
      <w:start w:val="1"/>
      <w:numFmt w:val="decimal"/>
      <w:lvlText w:val="%1.%2.%3.%4.%5.%6.%7.%8."/>
      <w:lvlJc w:val="left"/>
      <w:pPr>
        <w:tabs>
          <w:tab w:val="num" w:pos="0"/>
        </w:tabs>
        <w:ind w:left="4320" w:hanging="1440"/>
      </w:pPr>
      <w:rPr/>
    </w:lvl>
    <w:lvl w:ilvl="8">
      <w:start w:val="1"/>
      <w:numFmt w:val="decimal"/>
      <w:lvlText w:val="%1.%2.%3.%4.%5.%6.%7.%8.%9."/>
      <w:lvlJc w:val="left"/>
      <w:pPr>
        <w:tabs>
          <w:tab w:val="num" w:pos="0"/>
        </w:tabs>
        <w:ind w:left="5040" w:hanging="1800"/>
      </w:pPr>
      <w:rPr/>
    </w:lvl>
  </w:abstractNum>
  <w:abstractNum w:abstractNumId="55">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 w:numId="38">
    <w:abstractNumId w:val="38"/>
  </w:num>
  <w:num w:numId="39">
    <w:abstractNumId w:val="39"/>
  </w:num>
  <w:num w:numId="40">
    <w:abstractNumId w:val="40"/>
  </w:num>
  <w:num w:numId="41">
    <w:abstractNumId w:val="41"/>
  </w:num>
  <w:num w:numId="42">
    <w:abstractNumId w:val="42"/>
  </w:num>
  <w:num w:numId="43">
    <w:abstractNumId w:val="43"/>
  </w:num>
  <w:num w:numId="44">
    <w:abstractNumId w:val="44"/>
  </w:num>
  <w:num w:numId="45">
    <w:abstractNumId w:val="45"/>
  </w:num>
  <w:num w:numId="46">
    <w:abstractNumId w:val="46"/>
  </w:num>
  <w:num w:numId="47">
    <w:abstractNumId w:val="47"/>
  </w:num>
  <w:num w:numId="48">
    <w:abstractNumId w:val="48"/>
  </w:num>
  <w:num w:numId="49">
    <w:abstractNumId w:val="49"/>
  </w:num>
  <w:num w:numId="50">
    <w:abstractNumId w:val="50"/>
  </w:num>
  <w:num w:numId="51">
    <w:abstractNumId w:val="51"/>
  </w:num>
  <w:num w:numId="52">
    <w:abstractNumId w:val="52"/>
  </w:num>
  <w:num w:numId="53">
    <w:abstractNumId w:val="53"/>
  </w:num>
  <w:num w:numId="54">
    <w:abstractNumId w:val="54"/>
  </w:num>
  <w:num w:numId="55">
    <w:abstractNumId w:val="55"/>
  </w:num>
  <w:num w:numId="56">
    <w:abstractNumId w:val="39"/>
    <w:lvlOverride w:ilvl="0">
      <w:startOverride w:val="1"/>
    </w:lvlOverride>
  </w:num>
  <w:num w:numId="57">
    <w:abstractNumId w:val="39"/>
  </w:num>
  <w:num w:numId="58">
    <w:abstractNumId w:val="39"/>
  </w:num>
  <w:num w:numId="59">
    <w:abstractNumId w:val="39"/>
  </w:num>
  <w:num w:numId="60">
    <w:abstractNumId w:val="39"/>
  </w:num>
  <w:num w:numId="61">
    <w:abstractNumId w:val="39"/>
  </w:num>
  <w:num w:numId="62">
    <w:abstractNumId w:val="39"/>
  </w:num>
  <w:num w:numId="63">
    <w:abstractNumId w:val="39"/>
  </w:num>
  <w:num w:numId="64">
    <w:abstractNumId w:val="39"/>
  </w:num>
  <w:num w:numId="65">
    <w:abstractNumId w:val="39"/>
  </w:num>
  <w:num w:numId="66">
    <w:abstractNumId w:val="39"/>
  </w:num>
  <w:num w:numId="67">
    <w:abstractNumId w:val="39"/>
  </w:num>
  <w:num w:numId="68">
    <w:abstractNumId w:val="39"/>
  </w:num>
  <w:num w:numId="69">
    <w:abstractNumId w:val="39"/>
  </w:num>
  <w:num w:numId="70">
    <w:abstractNumId w:val="39"/>
  </w:num>
  <w:num w:numId="71">
    <w:abstractNumId w:val="54"/>
    <w:lvlOverride w:ilvl="0">
      <w:startOverride w:val="1"/>
    </w:lvlOverride>
  </w:num>
</w:numbering>
</file>

<file path=word/settings.xml><?xml version="1.0" encoding="utf-8"?>
<w:settings xmlns:w="http://schemas.openxmlformats.org/wordprocessingml/2006/main">
  <w:zoom w:percent="100"/>
  <w:embedSystemFonts/>
  <w:defaultTabStop w:val="708"/>
  <w:autoHyphenation w:val="true"/>
  <w:hyphenationZone w:val="0"/>
  <w:footnotePr>
    <w:numFmt w:val="decimal"/>
    <w:footnote w:id="0"/>
    <w:footnote w:id="1"/>
  </w:footnotePr>
  <w:compat>
    <w:doNotBreakWrappedTables/>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lang w:val="pl-PL" w:eastAsia="pl-PL" w:bidi="ar-SA"/>
      </w:rPr>
    </w:rPrDefault>
    <w:pPrDefault>
      <w:pPr>
        <w:suppressAutoHyphens w:val="true"/>
      </w:pPr>
    </w:pPrDefault>
  </w:docDefaults>
  <w:latentStyles w:defLockedState="0" w:defUIPriority="0" w:defSemiHidden="0" w:defUnhideWhenUsed="0" w:defQFormat="0" w:count="371">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uiPriority="99"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uiPriority="99" w:semiHidden="1"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uiPriority="99"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uiPriority="99" w:semiHidden="1" w:unhideWhenUsed="1"/>
    <w:lsdException w:name="E-mail Signature" w:semiHidden="1" w:unhideWhenUsed="1"/>
    <w:lsdException w:name="HTML Top of Form" w:semiHidden="1" w:unhideWhenUsed="1"/>
    <w:lsdException w:name="HTML Bottom of Form" w:semiHidden="1" w:unhideWhenUsed="1"/>
    <w:lsdException w:name="Normal (Web)" w:uiPriority="99"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uiPriority="99"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sid w:val="00c63401"/>
    <w:pPr>
      <w:widowControl/>
      <w:suppressAutoHyphens w:val="true"/>
      <w:bidi w:val="0"/>
      <w:spacing w:before="0" w:after="0"/>
      <w:jc w:val="left"/>
    </w:pPr>
    <w:rPr>
      <w:rFonts w:ascii="Times New Roman" w:hAnsi="Times New Roman" w:eastAsia="Times New Roman" w:cs="Times New Roman"/>
      <w:color w:val="auto"/>
      <w:kern w:val="0"/>
      <w:sz w:val="20"/>
      <w:szCs w:val="20"/>
      <w:lang w:val="pl-PL" w:eastAsia="zh-CN" w:bidi="ar-SA"/>
    </w:rPr>
  </w:style>
  <w:style w:type="paragraph" w:styleId="Heading1">
    <w:name w:val="heading 1"/>
    <w:basedOn w:val="Normal"/>
    <w:next w:val="Normal"/>
    <w:link w:val="Nagwek1Znak"/>
    <w:uiPriority w:val="9"/>
    <w:qFormat/>
    <w:rsid w:val="00e978cc"/>
    <w:pPr>
      <w:keepNext w:val="true"/>
      <w:keepLines/>
      <w:suppressAutoHyphens w:val="false"/>
      <w:spacing w:lineRule="auto" w:line="259" w:before="240" w:after="0"/>
      <w:outlineLvl w:val="0"/>
    </w:pPr>
    <w:rPr>
      <w:rFonts w:ascii="Calibri Light" w:hAnsi="Calibri Light" w:eastAsia="" w:cs="" w:asciiTheme="majorHAnsi" w:cstheme="majorBidi" w:eastAsiaTheme="majorEastAsia" w:hAnsiTheme="majorHAnsi"/>
      <w:color w:themeColor="accent1" w:themeShade="bf" w:val="2F5496"/>
      <w:sz w:val="32"/>
      <w:szCs w:val="32"/>
      <w:lang w:eastAsia="en-US"/>
    </w:rPr>
  </w:style>
  <w:style w:type="character" w:styleId="DefaultParagraphFont" w:default="1">
    <w:name w:val="Default Paragraph Font"/>
    <w:uiPriority w:val="1"/>
    <w:semiHidden/>
    <w:unhideWhenUsed/>
    <w:qFormat/>
    <w:rPr/>
  </w:style>
  <w:style w:type="character" w:styleId="Hyperlink">
    <w:name w:val="Hyperlink"/>
    <w:basedOn w:val="DefaultParagraphFont"/>
    <w:qFormat/>
    <w:rPr>
      <w:color w:themeColor="hyperlink" w:val="0563C1"/>
      <w:u w:val="single"/>
    </w:rPr>
  </w:style>
  <w:style w:type="character" w:styleId="UyteHipercze1" w:customStyle="1">
    <w:name w:val="UżyteHiperłącze1"/>
    <w:qFormat/>
    <w:rsid w:val="005d3b82"/>
    <w:rPr>
      <w:color w:val="800080"/>
      <w:u w:val="single"/>
    </w:rPr>
  </w:style>
  <w:style w:type="character" w:styleId="WW8Num3z0" w:customStyle="1">
    <w:name w:val="WW8Num3z0"/>
    <w:qFormat/>
    <w:rsid w:val="005d3b82"/>
    <w:rPr>
      <w:b/>
      <w:bCs w:val="false"/>
    </w:rPr>
  </w:style>
  <w:style w:type="character" w:styleId="WW8Num4z2" w:customStyle="1">
    <w:name w:val="WW8Num4z2"/>
    <w:qFormat/>
    <w:rsid w:val="005d3b82"/>
    <w:rPr>
      <w:rFonts w:ascii="Tahoma" w:hAnsi="Tahoma" w:cs="Tahoma"/>
      <w:b w:val="false"/>
      <w:bCs w:val="false"/>
      <w:sz w:val="24"/>
      <w:szCs w:val="24"/>
    </w:rPr>
  </w:style>
  <w:style w:type="character" w:styleId="WW8Num5z0" w:customStyle="1">
    <w:name w:val="WW8Num5z0"/>
    <w:qFormat/>
    <w:rsid w:val="005d3b82"/>
    <w:rPr>
      <w:b w:val="false"/>
      <w:bCs w:val="false"/>
    </w:rPr>
  </w:style>
  <w:style w:type="character" w:styleId="WW8Num6z0" w:customStyle="1">
    <w:name w:val="WW8Num6z0"/>
    <w:qFormat/>
    <w:rsid w:val="005d3b82"/>
    <w:rPr>
      <w:rFonts w:ascii="Tahoma" w:hAnsi="Tahoma" w:cs="Tahoma"/>
      <w:sz w:val="24"/>
      <w:szCs w:val="24"/>
    </w:rPr>
  </w:style>
  <w:style w:type="character" w:styleId="WW8Num7z0" w:customStyle="1">
    <w:name w:val="WW8Num7z0"/>
    <w:qFormat/>
    <w:rsid w:val="005d3b82"/>
    <w:rPr>
      <w:rFonts w:ascii="Symbol" w:hAnsi="Symbol" w:cs="StarSymbol"/>
      <w:sz w:val="18"/>
      <w:szCs w:val="18"/>
    </w:rPr>
  </w:style>
  <w:style w:type="character" w:styleId="WW8Num7z1" w:customStyle="1">
    <w:name w:val="WW8Num7z1"/>
    <w:qFormat/>
    <w:rsid w:val="005d3b82"/>
    <w:rPr>
      <w:sz w:val="24"/>
      <w:szCs w:val="24"/>
    </w:rPr>
  </w:style>
  <w:style w:type="character" w:styleId="WW8Num9z1" w:customStyle="1">
    <w:name w:val="WW8Num9z1"/>
    <w:qFormat/>
    <w:rsid w:val="005d3b82"/>
    <w:rPr>
      <w:rFonts w:ascii="Times New Roman" w:hAnsi="Times New Roman" w:cs="StarSymbol"/>
      <w:sz w:val="18"/>
      <w:szCs w:val="18"/>
    </w:rPr>
  </w:style>
  <w:style w:type="character" w:styleId="WW8Num10z2" w:customStyle="1">
    <w:name w:val="WW8Num10z2"/>
    <w:qFormat/>
    <w:rsid w:val="005d3b82"/>
    <w:rPr>
      <w:rFonts w:ascii="Tahoma" w:hAnsi="Tahoma" w:cs="Tahoma"/>
      <w:sz w:val="24"/>
      <w:szCs w:val="24"/>
    </w:rPr>
  </w:style>
  <w:style w:type="character" w:styleId="WW8Num12z1" w:customStyle="1">
    <w:name w:val="WW8Num12z1"/>
    <w:qFormat/>
    <w:rsid w:val="005d3b82"/>
    <w:rPr>
      <w:rFonts w:ascii="Symbol" w:hAnsi="Symbol" w:cs="Symbol"/>
    </w:rPr>
  </w:style>
  <w:style w:type="character" w:styleId="WW8Num13z2" w:customStyle="1">
    <w:name w:val="WW8Num13z2"/>
    <w:qFormat/>
    <w:rsid w:val="005d3b82"/>
    <w:rPr>
      <w:rFonts w:ascii="Symbol" w:hAnsi="Symbol" w:cs="Symbol"/>
    </w:rPr>
  </w:style>
  <w:style w:type="character" w:styleId="WW8Num15z0" w:customStyle="1">
    <w:name w:val="WW8Num15z0"/>
    <w:qFormat/>
    <w:rsid w:val="005d3b82"/>
    <w:rPr>
      <w:sz w:val="24"/>
      <w:szCs w:val="24"/>
    </w:rPr>
  </w:style>
  <w:style w:type="character" w:styleId="WW8Num17z1" w:customStyle="1">
    <w:name w:val="WW8Num17z1"/>
    <w:qFormat/>
    <w:rsid w:val="005d3b82"/>
    <w:rPr>
      <w:b w:val="false"/>
      <w:bCs w:val="false"/>
    </w:rPr>
  </w:style>
  <w:style w:type="character" w:styleId="WW8Num18z1" w:customStyle="1">
    <w:name w:val="WW8Num18z1"/>
    <w:qFormat/>
    <w:rsid w:val="005d3b82"/>
    <w:rPr>
      <w:rFonts w:ascii="Times New Roman" w:hAnsi="Times New Roman" w:eastAsia="Times New Roman" w:cs="Times New Roman"/>
    </w:rPr>
  </w:style>
  <w:style w:type="character" w:styleId="WW8Num21z1" w:customStyle="1">
    <w:name w:val="WW8Num21z1"/>
    <w:qFormat/>
    <w:rsid w:val="005d3b82"/>
    <w:rPr>
      <w:b w:val="false"/>
      <w:bCs w:val="false"/>
    </w:rPr>
  </w:style>
  <w:style w:type="character" w:styleId="WW8Num22z0" w:customStyle="1">
    <w:name w:val="WW8Num22z0"/>
    <w:qFormat/>
    <w:rsid w:val="005d3b82"/>
    <w:rPr>
      <w:b w:val="false"/>
      <w:bCs w:val="false"/>
    </w:rPr>
  </w:style>
  <w:style w:type="character" w:styleId="WW8Num24z0" w:customStyle="1">
    <w:name w:val="WW8Num24z0"/>
    <w:qFormat/>
    <w:rsid w:val="005d3b82"/>
    <w:rPr>
      <w:rFonts w:ascii="Symbol" w:hAnsi="Symbol" w:cs="Symbol"/>
    </w:rPr>
  </w:style>
  <w:style w:type="character" w:styleId="WW8Num24z2" w:customStyle="1">
    <w:name w:val="WW8Num24z2"/>
    <w:qFormat/>
    <w:rsid w:val="005d3b82"/>
    <w:rPr>
      <w:b w:val="false"/>
      <w:bCs w:val="false"/>
    </w:rPr>
  </w:style>
  <w:style w:type="character" w:styleId="WW8Num25z0" w:customStyle="1">
    <w:name w:val="WW8Num25z0"/>
    <w:qFormat/>
    <w:rsid w:val="005d3b82"/>
    <w:rPr>
      <w:rFonts w:ascii="Symbol" w:hAnsi="Symbol" w:cs="Symbol"/>
    </w:rPr>
  </w:style>
  <w:style w:type="character" w:styleId="WW8Num25z1" w:customStyle="1">
    <w:name w:val="WW8Num25z1"/>
    <w:qFormat/>
    <w:rsid w:val="005d3b82"/>
    <w:rPr>
      <w:rFonts w:ascii="Courier New" w:hAnsi="Courier New" w:cs="Courier New"/>
    </w:rPr>
  </w:style>
  <w:style w:type="character" w:styleId="WW8Num25z2" w:customStyle="1">
    <w:name w:val="WW8Num25z2"/>
    <w:qFormat/>
    <w:rsid w:val="005d3b82"/>
    <w:rPr>
      <w:rFonts w:ascii="Wingdings" w:hAnsi="Wingdings" w:cs="Wingdings"/>
    </w:rPr>
  </w:style>
  <w:style w:type="character" w:styleId="WW8Num30z0" w:customStyle="1">
    <w:name w:val="WW8Num30z0"/>
    <w:qFormat/>
    <w:rsid w:val="005d3b82"/>
    <w:rPr>
      <w:rFonts w:ascii="Tahoma" w:hAnsi="Tahoma" w:cs="Tahoma"/>
      <w:sz w:val="24"/>
      <w:szCs w:val="24"/>
    </w:rPr>
  </w:style>
  <w:style w:type="character" w:styleId="WW8Num34z0" w:customStyle="1">
    <w:name w:val="WW8Num34z0"/>
    <w:qFormat/>
    <w:rsid w:val="005d3b82"/>
    <w:rPr>
      <w:rFonts w:ascii="Symbol" w:hAnsi="Symbol" w:cs="Symbol"/>
    </w:rPr>
  </w:style>
  <w:style w:type="character" w:styleId="Domylnaczcionkaakapitu1" w:customStyle="1">
    <w:name w:val="Domyślna czcionka akapitu1"/>
    <w:qFormat/>
    <w:rsid w:val="005d3b82"/>
    <w:rPr/>
  </w:style>
  <w:style w:type="character" w:styleId="akapitdomyslny" w:customStyle="1">
    <w:name w:val="akapitdomyslny"/>
    <w:qFormat/>
    <w:rsid w:val="005d3b82"/>
    <w:rPr>
      <w:sz w:val="20"/>
      <w:szCs w:val="20"/>
    </w:rPr>
  </w:style>
  <w:style w:type="character" w:styleId="FontStyle104" w:customStyle="1">
    <w:name w:val="Font Style104"/>
    <w:qFormat/>
    <w:rsid w:val="005d3b82"/>
    <w:rPr>
      <w:rFonts w:ascii="Arial" w:hAnsi="Arial" w:cs="Arial"/>
      <w:sz w:val="20"/>
      <w:szCs w:val="20"/>
    </w:rPr>
  </w:style>
  <w:style w:type="character" w:styleId="FontStyle105" w:customStyle="1">
    <w:name w:val="Font Style105"/>
    <w:qFormat/>
    <w:rsid w:val="005d3b82"/>
    <w:rPr>
      <w:rFonts w:ascii="Arial" w:hAnsi="Arial" w:cs="Arial"/>
      <w:b/>
      <w:bCs/>
      <w:sz w:val="20"/>
      <w:szCs w:val="20"/>
    </w:rPr>
  </w:style>
  <w:style w:type="character" w:styleId="text21" w:customStyle="1">
    <w:name w:val="text21"/>
    <w:qFormat/>
    <w:rsid w:val="005d3b82"/>
    <w:rPr>
      <w:rFonts w:ascii="Verdana" w:hAnsi="Verdana" w:cs="Verdana"/>
      <w:color w:val="000000"/>
      <w:sz w:val="17"/>
      <w:szCs w:val="17"/>
    </w:rPr>
  </w:style>
  <w:style w:type="character" w:styleId="StopkaZnak" w:customStyle="1">
    <w:name w:val="Stopka Znak"/>
    <w:uiPriority w:val="99"/>
    <w:qFormat/>
    <w:rsid w:val="00456cb5"/>
    <w:rPr>
      <w:lang w:eastAsia="zh-CN"/>
    </w:rPr>
  </w:style>
  <w:style w:type="character" w:styleId="FontStyle28" w:customStyle="1">
    <w:name w:val="Font Style28"/>
    <w:uiPriority w:val="99"/>
    <w:qFormat/>
    <w:rsid w:val="00ce78f9"/>
    <w:rPr>
      <w:rFonts w:ascii="Arial" w:hAnsi="Arial" w:cs="Arial"/>
      <w:sz w:val="20"/>
      <w:szCs w:val="20"/>
    </w:rPr>
  </w:style>
  <w:style w:type="character" w:styleId="Nagwek2Znak" w:customStyle="1">
    <w:name w:val="Nagłówek 2 Znak"/>
    <w:link w:val="Nagwek21"/>
    <w:semiHidden/>
    <w:qFormat/>
    <w:rsid w:val="0017171d"/>
    <w:rPr>
      <w:rFonts w:ascii="Cambria" w:hAnsi="Cambria"/>
      <w:b/>
      <w:bCs/>
      <w:i/>
      <w:iCs/>
      <w:sz w:val="28"/>
      <w:szCs w:val="28"/>
      <w:lang w:eastAsia="zh-CN"/>
    </w:rPr>
  </w:style>
  <w:style w:type="character" w:styleId="PageNumber">
    <w:name w:val="page number"/>
    <w:basedOn w:val="Domylnaczcionkaakapitu1"/>
    <w:qFormat/>
    <w:rsid w:val="0017171d"/>
    <w:rPr/>
  </w:style>
  <w:style w:type="character" w:styleId="ZagicieodgryformularzaZnak" w:customStyle="1">
    <w:name w:val="Zagięcie od góry formularza Znak"/>
    <w:link w:val="HTMLTopofForm"/>
    <w:qFormat/>
    <w:rsid w:val="0017171d"/>
    <w:rPr>
      <w:rFonts w:ascii="Arial" w:hAnsi="Arial" w:cs="Arial"/>
      <w:vanish/>
      <w:sz w:val="16"/>
      <w:szCs w:val="16"/>
      <w:lang w:eastAsia="zh-CN"/>
    </w:rPr>
  </w:style>
  <w:style w:type="character" w:styleId="ZagicieoddouformularzaZnak" w:customStyle="1">
    <w:name w:val="Zagięcie od dołu formularza Znak"/>
    <w:link w:val="HTMLBottomofForm"/>
    <w:qFormat/>
    <w:rsid w:val="0017171d"/>
    <w:rPr>
      <w:rFonts w:ascii="Arial" w:hAnsi="Arial" w:cs="Arial"/>
      <w:vanish/>
      <w:sz w:val="16"/>
      <w:szCs w:val="16"/>
      <w:lang w:eastAsia="zh-CN"/>
    </w:rPr>
  </w:style>
  <w:style w:type="character" w:styleId="TekstdymkaZnak" w:customStyle="1">
    <w:name w:val="Tekst dymka Znak"/>
    <w:link w:val="BalloonText"/>
    <w:qFormat/>
    <w:rsid w:val="0017171d"/>
    <w:rPr>
      <w:rFonts w:ascii="Tahoma" w:hAnsi="Tahoma" w:cs="Tahoma"/>
      <w:sz w:val="16"/>
      <w:szCs w:val="16"/>
      <w:lang w:eastAsia="zh-CN"/>
    </w:rPr>
  </w:style>
  <w:style w:type="character" w:styleId="TekstprzypisudolnegoZnak" w:customStyle="1">
    <w:name w:val="Tekst przypisu dolnego Znak"/>
    <w:link w:val="Tekstprzypisudolnego1"/>
    <w:qFormat/>
    <w:rsid w:val="0017171d"/>
    <w:rPr>
      <w:rFonts w:ascii="Arial" w:hAnsi="Arial"/>
      <w:lang w:val="en-US" w:eastAsia="en-US"/>
    </w:rPr>
  </w:style>
  <w:style w:type="character" w:styleId="Znakiprzypiswdolnych" w:customStyle="1">
    <w:name w:val="Znaki przypisów dolnych"/>
    <w:qFormat/>
    <w:rPr>
      <w:vertAlign w:val="superscript"/>
    </w:rPr>
  </w:style>
  <w:style w:type="character" w:styleId="Znakiprzypiswdolnychuser" w:customStyle="1">
    <w:name w:val="Znaki przypisów dolnych (user)"/>
    <w:qFormat/>
    <w:rsid w:val="001b2067"/>
    <w:rPr>
      <w:vertAlign w:val="superscript"/>
    </w:rPr>
  </w:style>
  <w:style w:type="character" w:styleId="FootnoteReference">
    <w:name w:val="footnote reference"/>
    <w:rPr>
      <w:vertAlign w:val="superscript"/>
    </w:rPr>
  </w:style>
  <w:style w:type="character" w:styleId="FootnoteCharacters" w:customStyle="1">
    <w:name w:val="Footnote Characters"/>
    <w:unhideWhenUsed/>
    <w:qFormat/>
    <w:rsid w:val="00fa2939"/>
    <w:rPr>
      <w:vertAlign w:val="superscript"/>
    </w:rPr>
  </w:style>
  <w:style w:type="character" w:styleId="TekstpodstawowywcityZnak" w:customStyle="1">
    <w:name w:val="Tekst podstawowy wcięty Znak"/>
    <w:qFormat/>
    <w:rsid w:val="00332d50"/>
    <w:rPr>
      <w:lang w:eastAsia="zh-CN"/>
    </w:rPr>
  </w:style>
  <w:style w:type="character" w:styleId="alb" w:customStyle="1">
    <w:name w:val="a_lb"/>
    <w:qFormat/>
    <w:rsid w:val="00890dde"/>
    <w:rPr/>
  </w:style>
  <w:style w:type="character" w:styleId="AkapitzlistZnak" w:customStyle="1">
    <w:name w:val="Akapit z listą Znak"/>
    <w:link w:val="ListParagraph"/>
    <w:uiPriority w:val="34"/>
    <w:qFormat/>
    <w:rsid w:val="00cb449f"/>
    <w:rPr>
      <w:sz w:val="24"/>
      <w:szCs w:val="24"/>
    </w:rPr>
  </w:style>
  <w:style w:type="character" w:styleId="CommentReference">
    <w:name w:val="annotation reference"/>
    <w:qFormat/>
    <w:rsid w:val="005916d0"/>
    <w:rPr>
      <w:sz w:val="16"/>
      <w:szCs w:val="16"/>
    </w:rPr>
  </w:style>
  <w:style w:type="character" w:styleId="TekstkomentarzaZnak" w:customStyle="1">
    <w:name w:val="Tekst komentarza Znak"/>
    <w:link w:val="CommentText"/>
    <w:qFormat/>
    <w:rsid w:val="005916d0"/>
    <w:rPr>
      <w:lang w:eastAsia="zh-CN"/>
    </w:rPr>
  </w:style>
  <w:style w:type="character" w:styleId="TematkomentarzaZnak" w:customStyle="1">
    <w:name w:val="Temat komentarza Znak"/>
    <w:link w:val="annotationsubject"/>
    <w:qFormat/>
    <w:rsid w:val="005916d0"/>
    <w:rPr>
      <w:b/>
      <w:bCs/>
      <w:lang w:eastAsia="zh-CN"/>
    </w:rPr>
  </w:style>
  <w:style w:type="character" w:styleId="ng-binding" w:customStyle="1">
    <w:name w:val="ng-binding"/>
    <w:qFormat/>
    <w:rsid w:val="00c667bd"/>
    <w:rPr/>
  </w:style>
  <w:style w:type="character" w:styleId="ng-scope" w:customStyle="1">
    <w:name w:val="ng-scope"/>
    <w:qFormat/>
    <w:rsid w:val="00c667bd"/>
    <w:rPr/>
  </w:style>
  <w:style w:type="character" w:styleId="NagwekZnak" w:customStyle="1">
    <w:name w:val="Nagłówek Znak"/>
    <w:uiPriority w:val="99"/>
    <w:qFormat/>
    <w:rsid w:val="000e094f"/>
    <w:rPr>
      <w:lang w:eastAsia="zh-CN"/>
    </w:rPr>
  </w:style>
  <w:style w:type="character" w:styleId="Nierozpoznanawzmianka1" w:customStyle="1">
    <w:name w:val="Nierozpoznana wzmianka1"/>
    <w:uiPriority w:val="99"/>
    <w:semiHidden/>
    <w:unhideWhenUsed/>
    <w:qFormat/>
    <w:rsid w:val="00b95416"/>
    <w:rPr>
      <w:color w:val="605E5C"/>
      <w:shd w:fill="E1DFDD" w:val="clear"/>
    </w:rPr>
  </w:style>
  <w:style w:type="character" w:styleId="Pogrubienie1" w:customStyle="1">
    <w:name w:val="Pogrubienie1"/>
    <w:basedOn w:val="DefaultParagraphFont"/>
    <w:qFormat/>
    <w:rsid w:val="00be1896"/>
    <w:rPr>
      <w:b/>
      <w:bCs/>
    </w:rPr>
  </w:style>
  <w:style w:type="character" w:styleId="Tekstpodstawowy3Znak" w:customStyle="1">
    <w:name w:val="Tekst podstawowy 3 Znak"/>
    <w:qFormat/>
    <w:rsid w:val="000e713d"/>
    <w:rPr>
      <w:sz w:val="16"/>
      <w:szCs w:val="16"/>
      <w:lang w:eastAsia="zh-CN"/>
    </w:rPr>
  </w:style>
  <w:style w:type="character" w:styleId="Tekstpodstawowy3Znak1" w:customStyle="1">
    <w:name w:val="Tekst podstawowy 3 Znak1"/>
    <w:link w:val="BodyText3"/>
    <w:uiPriority w:val="99"/>
    <w:qFormat/>
    <w:rsid w:val="000e713d"/>
    <w:rPr>
      <w:color w:val="00000A"/>
      <w:sz w:val="16"/>
      <w:szCs w:val="16"/>
      <w:lang w:eastAsia="zh-CN"/>
    </w:rPr>
  </w:style>
  <w:style w:type="character" w:styleId="Tekstpodstawowywcity2Znak" w:customStyle="1">
    <w:name w:val="Tekst podstawowy wcięty 2 Znak"/>
    <w:basedOn w:val="DefaultParagraphFont"/>
    <w:link w:val="BodyTextIndent2"/>
    <w:qFormat/>
    <w:rsid w:val="00e578b0"/>
    <w:rPr>
      <w:lang w:eastAsia="zh-CN"/>
    </w:rPr>
  </w:style>
  <w:style w:type="character" w:styleId="Znakiprzypiswkocowych" w:customStyle="1">
    <w:name w:val="Znaki przypisów końcowych"/>
    <w:qFormat/>
    <w:rPr>
      <w:vertAlign w:val="superscript"/>
    </w:rPr>
  </w:style>
  <w:style w:type="character" w:styleId="Znakiprzypiswkocowychuser" w:customStyle="1">
    <w:name w:val="Znaki przypisów końcowych (user)"/>
    <w:qFormat/>
    <w:rsid w:val="00374396"/>
    <w:rPr>
      <w:vertAlign w:val="superscript"/>
    </w:rPr>
  </w:style>
  <w:style w:type="character" w:styleId="EndnoteReference">
    <w:name w:val="endnote reference"/>
    <w:rPr>
      <w:vertAlign w:val="superscript"/>
    </w:rPr>
  </w:style>
  <w:style w:type="character" w:styleId="StopkaZnak1" w:customStyle="1">
    <w:name w:val="Stopka Znak1"/>
    <w:basedOn w:val="DefaultParagraphFont"/>
    <w:link w:val="Stopka1"/>
    <w:qFormat/>
    <w:rsid w:val="00603371"/>
    <w:rPr>
      <w:lang w:eastAsia="zh-CN"/>
    </w:rPr>
  </w:style>
  <w:style w:type="character" w:styleId="Strong">
    <w:name w:val="Strong"/>
    <w:basedOn w:val="DefaultParagraphFont"/>
    <w:uiPriority w:val="22"/>
    <w:qFormat/>
    <w:rsid w:val="003a07ef"/>
    <w:rPr>
      <w:b/>
      <w:bCs/>
    </w:rPr>
  </w:style>
  <w:style w:type="character" w:styleId="TekstpodstawowyZnak" w:customStyle="1">
    <w:name w:val="Tekst podstawowy Znak"/>
    <w:basedOn w:val="DefaultParagraphFont"/>
    <w:qFormat/>
    <w:rsid w:val="0097551b"/>
    <w:rPr>
      <w:rFonts w:ascii="Arial" w:hAnsi="Arial" w:cs="Arial"/>
      <w:sz w:val="24"/>
      <w:lang w:eastAsia="zh-CN"/>
    </w:rPr>
  </w:style>
  <w:style w:type="character" w:styleId="TytuZnak" w:customStyle="1">
    <w:name w:val="Tytuł Znak"/>
    <w:basedOn w:val="DefaultParagraphFont"/>
    <w:qFormat/>
    <w:rsid w:val="0097551b"/>
    <w:rPr>
      <w:rFonts w:ascii="Arial" w:hAnsi="Arial"/>
      <w:b/>
      <w:sz w:val="28"/>
      <w:szCs w:val="24"/>
      <w:u w:val="single"/>
      <w:lang w:eastAsia="zh-CN"/>
    </w:rPr>
  </w:style>
  <w:style w:type="character" w:styleId="TytuZnak1" w:customStyle="1">
    <w:name w:val="Tytuł Znak1"/>
    <w:basedOn w:val="DefaultParagraphFont"/>
    <w:qFormat/>
    <w:rsid w:val="0097551b"/>
    <w:rPr>
      <w:rFonts w:ascii="Calibri Light" w:hAnsi="Calibri Light" w:eastAsia="" w:cs="" w:asciiTheme="majorHAnsi" w:cstheme="majorBidi" w:eastAsiaTheme="majorEastAsia" w:hAnsiTheme="majorHAnsi"/>
      <w:color w:themeColor="text2" w:themeShade="bf" w:val="323E4F"/>
      <w:spacing w:val="5"/>
      <w:kern w:val="2"/>
      <w:sz w:val="52"/>
      <w:szCs w:val="52"/>
      <w:lang w:eastAsia="zh-CN"/>
    </w:rPr>
  </w:style>
  <w:style w:type="character" w:styleId="WW8Num82z0" w:customStyle="1">
    <w:name w:val="WW8Num82z0"/>
    <w:qFormat/>
    <w:rPr>
      <w:rFonts w:ascii="Symbol" w:hAnsi="Symbol" w:cs="Symbol"/>
      <w:szCs w:val="20"/>
    </w:rPr>
  </w:style>
  <w:style w:type="character" w:styleId="WW8Num82z1" w:customStyle="1">
    <w:name w:val="WW8Num82z1"/>
    <w:qFormat/>
    <w:rPr>
      <w:rFonts w:ascii="Courier New" w:hAnsi="Courier New" w:cs="Courier New"/>
    </w:rPr>
  </w:style>
  <w:style w:type="character" w:styleId="WW8Num82z2" w:customStyle="1">
    <w:name w:val="WW8Num82z2"/>
    <w:qFormat/>
    <w:rPr>
      <w:rFonts w:ascii="Wingdings" w:hAnsi="Wingdings" w:cs="Wingdings"/>
    </w:rPr>
  </w:style>
  <w:style w:type="character" w:styleId="ZwykytekstZnak" w:customStyle="1">
    <w:name w:val="Zwykły tekst Znak"/>
    <w:basedOn w:val="DefaultParagraphFont"/>
    <w:link w:val="PlainText"/>
    <w:uiPriority w:val="99"/>
    <w:qFormat/>
    <w:rsid w:val="00126cb4"/>
    <w:rPr>
      <w:rFonts w:ascii="Courier New" w:hAnsi="Courier New" w:eastAsia="Calibri"/>
    </w:rPr>
  </w:style>
  <w:style w:type="character" w:styleId="StopkaZnak2" w:customStyle="1">
    <w:name w:val="Stopka Znak2"/>
    <w:basedOn w:val="DefaultParagraphFont"/>
    <w:qFormat/>
    <w:rsid w:val="00126cb4"/>
    <w:rPr>
      <w:lang w:eastAsia="zh-CN"/>
    </w:rPr>
  </w:style>
  <w:style w:type="character" w:styleId="Nierozpoznanawzmianka2" w:customStyle="1">
    <w:name w:val="Nierozpoznana wzmianka2"/>
    <w:basedOn w:val="DefaultParagraphFont"/>
    <w:uiPriority w:val="99"/>
    <w:semiHidden/>
    <w:unhideWhenUsed/>
    <w:qFormat/>
    <w:rsid w:val="000c1ddc"/>
    <w:rPr>
      <w:color w:val="605E5C"/>
      <w:shd w:fill="E1DFDD" w:val="clear"/>
    </w:rPr>
  </w:style>
  <w:style w:type="character" w:styleId="Nierozpoznanawzmianka3" w:customStyle="1">
    <w:name w:val="Nierozpoznana wzmianka3"/>
    <w:basedOn w:val="DefaultParagraphFont"/>
    <w:uiPriority w:val="99"/>
    <w:semiHidden/>
    <w:unhideWhenUsed/>
    <w:qFormat/>
    <w:rsid w:val="000a1c38"/>
    <w:rPr>
      <w:color w:val="605E5C"/>
      <w:shd w:fill="E1DFDD" w:val="clear"/>
    </w:rPr>
  </w:style>
  <w:style w:type="character" w:styleId="Uwydatnienie1" w:customStyle="1">
    <w:name w:val="Uwydatnienie1"/>
    <w:basedOn w:val="DefaultParagraphFont"/>
    <w:uiPriority w:val="20"/>
    <w:qFormat/>
    <w:rsid w:val="00a70335"/>
    <w:rPr>
      <w:i/>
      <w:iCs/>
    </w:rPr>
  </w:style>
  <w:style w:type="character" w:styleId="Nierozpoznanawzmianka4" w:customStyle="1">
    <w:name w:val="Nierozpoznana wzmianka4"/>
    <w:basedOn w:val="DefaultParagraphFont"/>
    <w:uiPriority w:val="99"/>
    <w:semiHidden/>
    <w:unhideWhenUsed/>
    <w:qFormat/>
    <w:rsid w:val="009e2797"/>
    <w:rPr>
      <w:color w:val="605E5C"/>
      <w:shd w:fill="E1DFDD" w:val="clear"/>
    </w:rPr>
  </w:style>
  <w:style w:type="character" w:styleId="WW8Num17z8" w:customStyle="1">
    <w:name w:val="WW8Num17z8"/>
    <w:qFormat/>
    <w:rsid w:val="009e2797"/>
    <w:rPr/>
  </w:style>
  <w:style w:type="character" w:styleId="Nierozpoznanawzmianka5" w:customStyle="1">
    <w:name w:val="Nierozpoznana wzmianka5"/>
    <w:basedOn w:val="DefaultParagraphFont"/>
    <w:uiPriority w:val="99"/>
    <w:semiHidden/>
    <w:unhideWhenUsed/>
    <w:qFormat/>
    <w:rsid w:val="009e07bb"/>
    <w:rPr>
      <w:color w:val="605E5C"/>
      <w:shd w:fill="E1DFDD" w:val="clear"/>
    </w:rPr>
  </w:style>
  <w:style w:type="character" w:styleId="Hipercze1" w:customStyle="1">
    <w:name w:val="Hiperłącze1"/>
    <w:basedOn w:val="DefaultParagraphFont"/>
    <w:unhideWhenUsed/>
    <w:qFormat/>
    <w:rsid w:val="009e07bb"/>
    <w:rPr>
      <w:color w:themeColor="hyperlink" w:val="0563C1"/>
      <w:u w:val="single"/>
    </w:rPr>
  </w:style>
  <w:style w:type="character" w:styleId="Odwoanieprzypisudolnego1" w:customStyle="1">
    <w:name w:val="Odwołanie przypisu dolnego1"/>
    <w:qFormat/>
    <w:rsid w:val="00474e9f"/>
    <w:rPr>
      <w:vertAlign w:val="superscript"/>
    </w:rPr>
  </w:style>
  <w:style w:type="character" w:styleId="Nagwek1Znak" w:customStyle="1">
    <w:name w:val="Nagłówek 1 Znak"/>
    <w:basedOn w:val="DefaultParagraphFont"/>
    <w:uiPriority w:val="9"/>
    <w:qFormat/>
    <w:rsid w:val="00e978cc"/>
    <w:rPr>
      <w:rFonts w:ascii="Calibri Light" w:hAnsi="Calibri Light" w:eastAsia="" w:cs="" w:asciiTheme="majorHAnsi" w:cstheme="majorBidi" w:eastAsiaTheme="majorEastAsia" w:hAnsiTheme="majorHAnsi"/>
      <w:color w:themeColor="accent1" w:themeShade="bf" w:val="2F5496"/>
      <w:sz w:val="32"/>
      <w:szCs w:val="32"/>
      <w:lang w:eastAsia="en-US"/>
    </w:rPr>
  </w:style>
  <w:style w:type="character" w:styleId="Nierozpoznanawzmianka6" w:customStyle="1">
    <w:name w:val="Nierozpoznana wzmianka6"/>
    <w:basedOn w:val="DefaultParagraphFont"/>
    <w:uiPriority w:val="99"/>
    <w:semiHidden/>
    <w:unhideWhenUsed/>
    <w:qFormat/>
    <w:rsid w:val="00df2938"/>
    <w:rPr>
      <w:color w:val="605E5C"/>
      <w:shd w:fill="E1DFDD" w:val="clear"/>
    </w:rPr>
  </w:style>
  <w:style w:type="character" w:styleId="UnresolvedMention" w:customStyle="1">
    <w:name w:val="Unresolved Mention"/>
    <w:basedOn w:val="DefaultParagraphFont"/>
    <w:uiPriority w:val="99"/>
    <w:semiHidden/>
    <w:unhideWhenUsed/>
    <w:qFormat/>
    <w:rsid w:val="00627c79"/>
    <w:rPr>
      <w:color w:val="605E5C"/>
      <w:shd w:fill="E1DFDD" w:val="clear"/>
    </w:rPr>
  </w:style>
  <w:style w:type="character" w:styleId="Znakinumeracji" w:customStyle="1">
    <w:name w:val="Znaki numeracji"/>
    <w:qFormat/>
    <w:rPr>
      <w:rFonts w:ascii="Cambria" w:hAnsi="Cambria"/>
      <w:sz w:val="20"/>
      <w:szCs w:val="20"/>
    </w:rPr>
  </w:style>
  <w:style w:type="character" w:styleId="Znakiwypunktowania" w:customStyle="1">
    <w:name w:val="Znaki wypunktowania"/>
    <w:qFormat/>
    <w:rPr>
      <w:rFonts w:ascii="OpenSymbol" w:hAnsi="OpenSymbol" w:eastAsia="OpenSymbol" w:cs="OpenSymbol"/>
    </w:rPr>
  </w:style>
  <w:style w:type="character" w:styleId="FollowedHyperlink">
    <w:name w:val="FollowedHyperlink"/>
    <w:rPr>
      <w:color w:val="800000"/>
      <w:u w:val="single"/>
    </w:rPr>
  </w:style>
  <w:style w:type="paragraph" w:styleId="Nagwek" w:customStyle="1">
    <w:name w:val="Nagłówek"/>
    <w:basedOn w:val="Normal"/>
    <w:next w:val="BodyText"/>
    <w:qFormat/>
    <w:pPr>
      <w:keepNext w:val="true"/>
      <w:spacing w:before="240" w:after="120"/>
    </w:pPr>
    <w:rPr>
      <w:rFonts w:ascii="Liberation Sans" w:hAnsi="Liberation Sans" w:eastAsia="Microsoft YaHei" w:cs="Arial"/>
      <w:sz w:val="28"/>
      <w:szCs w:val="28"/>
    </w:rPr>
  </w:style>
  <w:style w:type="paragraph" w:styleId="BodyText">
    <w:name w:val="Body Text"/>
    <w:basedOn w:val="Normal"/>
    <w:link w:val="TekstpodstawowyZnak"/>
    <w:rsid w:val="005d3b82"/>
    <w:pPr>
      <w:jc w:val="both"/>
    </w:pPr>
    <w:rPr>
      <w:rFonts w:ascii="Arial" w:hAnsi="Arial" w:cs="Arial"/>
      <w:sz w:val="24"/>
    </w:rPr>
  </w:style>
  <w:style w:type="paragraph" w:styleId="List">
    <w:name w:val="List"/>
    <w:basedOn w:val="BodyText"/>
    <w:rsid w:val="005d3b82"/>
    <w:pPr/>
    <w:rPr>
      <w:rFonts w:cs="Mangal"/>
    </w:rPr>
  </w:style>
  <w:style w:type="paragraph" w:styleId="Caption">
    <w:name w:val="caption"/>
    <w:basedOn w:val="Normal"/>
    <w:qFormat/>
    <w:rsid w:val="005d3b82"/>
    <w:pPr>
      <w:suppressLineNumbers/>
      <w:spacing w:before="120" w:after="120"/>
    </w:pPr>
    <w:rPr>
      <w:rFonts w:cs="Mangal"/>
      <w:i/>
      <w:iCs/>
      <w:sz w:val="24"/>
      <w:szCs w:val="24"/>
    </w:rPr>
  </w:style>
  <w:style w:type="paragraph" w:styleId="Indeks" w:customStyle="1">
    <w:name w:val="Indeks"/>
    <w:basedOn w:val="Normal"/>
    <w:qFormat/>
    <w:pPr>
      <w:suppressLineNumbers/>
    </w:pPr>
    <w:rPr>
      <w:rFonts w:cs="Arial"/>
    </w:rPr>
  </w:style>
  <w:style w:type="paragraph" w:styleId="Nagwekuser">
    <w:name w:val="Nagłówek (user)"/>
    <w:basedOn w:val="Normal"/>
    <w:next w:val="BodyText"/>
    <w:qFormat/>
    <w:pPr>
      <w:keepNext w:val="true"/>
      <w:spacing w:before="240" w:after="120"/>
    </w:pPr>
    <w:rPr>
      <w:rFonts w:ascii="Liberation Sans" w:hAnsi="Liberation Sans" w:eastAsia="Microsoft YaHei" w:cs="Arial"/>
      <w:sz w:val="28"/>
      <w:szCs w:val="28"/>
    </w:rPr>
  </w:style>
  <w:style w:type="paragraph" w:styleId="Indeksuser" w:customStyle="1">
    <w:name w:val="Indeks (user)"/>
    <w:basedOn w:val="Normal"/>
    <w:qFormat/>
    <w:rsid w:val="005d3b82"/>
    <w:pPr>
      <w:suppressLineNumbers/>
    </w:pPr>
    <w:rPr>
      <w:rFonts w:cs="Mangal"/>
    </w:rPr>
  </w:style>
  <w:style w:type="paragraph" w:styleId="Gwkaistopka" w:customStyle="1">
    <w:name w:val="Główka i stopka"/>
    <w:basedOn w:val="Normal"/>
    <w:qFormat/>
    <w:pPr/>
    <w:rPr/>
  </w:style>
  <w:style w:type="paragraph" w:styleId="Gwkaistopkauser" w:customStyle="1">
    <w:name w:val="Główka i stopka (user)"/>
    <w:basedOn w:val="Normal"/>
    <w:qFormat/>
    <w:rsid w:val="00374396"/>
    <w:pPr/>
    <w:rPr/>
  </w:style>
  <w:style w:type="paragraph" w:styleId="Header">
    <w:name w:val="header"/>
    <w:basedOn w:val="Normal"/>
    <w:next w:val="BodyText"/>
    <w:link w:val="NagwekZnak"/>
    <w:uiPriority w:val="99"/>
    <w:qFormat/>
    <w:pPr>
      <w:keepNext w:val="true"/>
      <w:spacing w:before="240" w:after="120"/>
    </w:pPr>
    <w:rPr>
      <w:rFonts w:ascii="Liberation Sans" w:hAnsi="Liberation Sans" w:eastAsia="Microsoft YaHei" w:cs="Arial"/>
      <w:sz w:val="28"/>
      <w:szCs w:val="28"/>
    </w:rPr>
  </w:style>
  <w:style w:type="paragraph" w:styleId="Nagwek11" w:customStyle="1">
    <w:name w:val="Nagłówek 11"/>
    <w:basedOn w:val="Normal"/>
    <w:next w:val="Normal"/>
    <w:qFormat/>
    <w:rsid w:val="005d3b82"/>
    <w:pPr>
      <w:keepNext w:val="true"/>
      <w:spacing w:before="240" w:after="60"/>
      <w:outlineLvl w:val="0"/>
    </w:pPr>
    <w:rPr>
      <w:rFonts w:ascii="Arial" w:hAnsi="Arial" w:cs="Arial"/>
      <w:b/>
      <w:bCs/>
      <w:kern w:val="2"/>
      <w:sz w:val="32"/>
      <w:szCs w:val="32"/>
    </w:rPr>
  </w:style>
  <w:style w:type="paragraph" w:styleId="Nagwek21" w:customStyle="1">
    <w:name w:val="Nagłówek 21"/>
    <w:basedOn w:val="Normal"/>
    <w:next w:val="Normal"/>
    <w:link w:val="Nagwek2Znak"/>
    <w:qFormat/>
    <w:rsid w:val="0017171d"/>
    <w:pPr>
      <w:keepNext w:val="true"/>
      <w:spacing w:before="240" w:after="60"/>
      <w:outlineLvl w:val="1"/>
    </w:pPr>
    <w:rPr>
      <w:rFonts w:ascii="Cambria" w:hAnsi="Cambria"/>
      <w:b/>
      <w:bCs/>
      <w:i/>
      <w:iCs/>
      <w:sz w:val="28"/>
      <w:szCs w:val="28"/>
    </w:rPr>
  </w:style>
  <w:style w:type="paragraph" w:styleId="Nagwek31" w:customStyle="1">
    <w:name w:val="Nagłówek 31"/>
    <w:basedOn w:val="Normal"/>
    <w:next w:val="Normal"/>
    <w:qFormat/>
    <w:rsid w:val="005d3b82"/>
    <w:pPr>
      <w:keepNext w:val="true"/>
      <w:spacing w:before="240" w:after="60"/>
      <w:outlineLvl w:val="2"/>
    </w:pPr>
    <w:rPr>
      <w:rFonts w:ascii="Arial" w:hAnsi="Arial" w:cs="Arial"/>
      <w:b/>
      <w:bCs/>
      <w:sz w:val="26"/>
      <w:szCs w:val="26"/>
    </w:rPr>
  </w:style>
  <w:style w:type="paragraph" w:styleId="Nagwek41" w:customStyle="1">
    <w:name w:val="Nagłówek 41"/>
    <w:basedOn w:val="Normal"/>
    <w:next w:val="Normal"/>
    <w:qFormat/>
    <w:rsid w:val="005d3b82"/>
    <w:pPr>
      <w:keepNext w:val="true"/>
      <w:spacing w:before="240" w:after="60"/>
      <w:outlineLvl w:val="3"/>
    </w:pPr>
    <w:rPr>
      <w:b/>
      <w:bCs/>
      <w:sz w:val="28"/>
      <w:szCs w:val="28"/>
    </w:rPr>
  </w:style>
  <w:style w:type="paragraph" w:styleId="Nagwek51" w:customStyle="1">
    <w:name w:val="Nagłówek 51"/>
    <w:basedOn w:val="Normal"/>
    <w:next w:val="Normal"/>
    <w:qFormat/>
    <w:rsid w:val="005d3b82"/>
    <w:pPr>
      <w:spacing w:before="240" w:after="60"/>
      <w:outlineLvl w:val="4"/>
    </w:pPr>
    <w:rPr>
      <w:b/>
      <w:bCs/>
      <w:i/>
      <w:iCs/>
      <w:sz w:val="26"/>
      <w:szCs w:val="26"/>
    </w:rPr>
  </w:style>
  <w:style w:type="paragraph" w:styleId="Nagwek61" w:customStyle="1">
    <w:name w:val="Nagłówek 61"/>
    <w:basedOn w:val="Normal"/>
    <w:next w:val="Normal"/>
    <w:qFormat/>
    <w:rsid w:val="005d3b82"/>
    <w:pPr>
      <w:keepNext w:val="true"/>
      <w:jc w:val="center"/>
      <w:outlineLvl w:val="5"/>
    </w:pPr>
    <w:rPr>
      <w:rFonts w:ascii="Arial" w:hAnsi="Arial" w:cs="Arial"/>
      <w:b/>
      <w:bCs/>
      <w:sz w:val="48"/>
    </w:rPr>
  </w:style>
  <w:style w:type="paragraph" w:styleId="Nagwek71" w:customStyle="1">
    <w:name w:val="Nagłówek 71"/>
    <w:basedOn w:val="Normal"/>
    <w:next w:val="Normal"/>
    <w:qFormat/>
    <w:rsid w:val="005d3b82"/>
    <w:pPr>
      <w:spacing w:before="240" w:after="60"/>
      <w:outlineLvl w:val="6"/>
    </w:pPr>
    <w:rPr>
      <w:sz w:val="24"/>
      <w:szCs w:val="24"/>
    </w:rPr>
  </w:style>
  <w:style w:type="paragraph" w:styleId="Nagwek81" w:customStyle="1">
    <w:name w:val="Nagłówek 81"/>
    <w:basedOn w:val="Normal"/>
    <w:next w:val="Normal"/>
    <w:qFormat/>
    <w:rsid w:val="005d3b82"/>
    <w:pPr>
      <w:spacing w:before="240" w:after="60"/>
      <w:outlineLvl w:val="7"/>
    </w:pPr>
    <w:rPr>
      <w:i/>
      <w:iCs/>
      <w:sz w:val="24"/>
      <w:szCs w:val="24"/>
    </w:rPr>
  </w:style>
  <w:style w:type="paragraph" w:styleId="Nagwek91" w:customStyle="1">
    <w:name w:val="Nagłówek 91"/>
    <w:basedOn w:val="Nagwek1"/>
    <w:next w:val="BodyText"/>
    <w:qFormat/>
    <w:rsid w:val="005d3b82"/>
    <w:pPr>
      <w:outlineLvl w:val="8"/>
    </w:pPr>
    <w:rPr>
      <w:b/>
      <w:bCs/>
      <w:sz w:val="21"/>
      <w:szCs w:val="21"/>
    </w:rPr>
  </w:style>
  <w:style w:type="paragraph" w:styleId="Legenda1" w:customStyle="1">
    <w:name w:val="Legenda1"/>
    <w:basedOn w:val="Normal"/>
    <w:qFormat/>
    <w:rsid w:val="00374396"/>
    <w:pPr>
      <w:suppressLineNumbers/>
      <w:spacing w:before="120" w:after="120"/>
    </w:pPr>
    <w:rPr>
      <w:rFonts w:ascii="DejaVu Sans" w:hAnsi="DejaVu Sans" w:cs="FreeSans"/>
      <w:i/>
      <w:iCs/>
      <w:sz w:val="24"/>
      <w:szCs w:val="24"/>
    </w:rPr>
  </w:style>
  <w:style w:type="paragraph" w:styleId="Nagwek1" w:customStyle="1">
    <w:name w:val="Nagłówek1"/>
    <w:basedOn w:val="Normal"/>
    <w:next w:val="BodyText"/>
    <w:qFormat/>
    <w:rsid w:val="005d3b82"/>
    <w:pPr>
      <w:jc w:val="center"/>
    </w:pPr>
    <w:rPr>
      <w:sz w:val="32"/>
      <w:szCs w:val="24"/>
    </w:rPr>
  </w:style>
  <w:style w:type="paragraph" w:styleId="NormalWeb">
    <w:name w:val="Normal (Web)"/>
    <w:basedOn w:val="Normal"/>
    <w:uiPriority w:val="99"/>
    <w:qFormat/>
    <w:rsid w:val="005d3b82"/>
    <w:pPr>
      <w:ind w:left="225"/>
    </w:pPr>
    <w:rPr>
      <w:rFonts w:ascii="Arial Unicode MS" w:hAnsi="Arial Unicode MS" w:cs="Arial Unicode MS"/>
      <w:sz w:val="24"/>
      <w:szCs w:val="24"/>
    </w:rPr>
  </w:style>
  <w:style w:type="paragraph" w:styleId="Stopka1" w:customStyle="1">
    <w:name w:val="Stopka1"/>
    <w:basedOn w:val="Normal"/>
    <w:link w:val="StopkaZnak1"/>
    <w:qFormat/>
    <w:rsid w:val="00603371"/>
    <w:pPr>
      <w:tabs>
        <w:tab w:val="clear" w:pos="708"/>
        <w:tab w:val="center" w:pos="4536" w:leader="none"/>
        <w:tab w:val="right" w:pos="9072" w:leader="none"/>
      </w:tabs>
    </w:pPr>
    <w:rPr/>
  </w:style>
  <w:style w:type="paragraph" w:styleId="BodyTextIndent">
    <w:name w:val="Body Text Indent"/>
    <w:basedOn w:val="Normal"/>
    <w:link w:val="TekstpodstawowywcityZnak"/>
    <w:rsid w:val="005d3b82"/>
    <w:pPr>
      <w:spacing w:before="0" w:after="120"/>
      <w:ind w:left="283"/>
    </w:pPr>
    <w:rPr/>
  </w:style>
  <w:style w:type="paragraph" w:styleId="Subtitle">
    <w:name w:val="Subtitle"/>
    <w:basedOn w:val="Normal"/>
    <w:next w:val="BodyText"/>
    <w:qFormat/>
    <w:rsid w:val="005d3b82"/>
    <w:pPr/>
    <w:rPr>
      <w:sz w:val="28"/>
      <w:szCs w:val="24"/>
    </w:rPr>
  </w:style>
  <w:style w:type="paragraph" w:styleId="BodyText2">
    <w:name w:val="Body Text 2"/>
    <w:basedOn w:val="Normal"/>
    <w:qFormat/>
    <w:rsid w:val="005d3b82"/>
    <w:pPr>
      <w:suppressAutoHyphens w:val="false"/>
      <w:spacing w:lineRule="auto" w:line="480" w:before="0" w:after="120"/>
    </w:pPr>
    <w:rPr>
      <w:lang w:eastAsia="pl-PL"/>
    </w:rPr>
  </w:style>
  <w:style w:type="paragraph" w:styleId="tyt" w:customStyle="1">
    <w:name w:val="tyt"/>
    <w:basedOn w:val="Normal"/>
    <w:qFormat/>
    <w:rsid w:val="005d3b82"/>
    <w:pPr>
      <w:keepNext w:val="true"/>
      <w:spacing w:before="60" w:after="60"/>
      <w:jc w:val="center"/>
    </w:pPr>
    <w:rPr>
      <w:b/>
      <w:bCs/>
      <w:sz w:val="24"/>
      <w:szCs w:val="24"/>
    </w:rPr>
  </w:style>
  <w:style w:type="paragraph" w:styleId="ust" w:customStyle="1">
    <w:name w:val="ust"/>
    <w:qFormat/>
    <w:rsid w:val="005d3b82"/>
    <w:pPr>
      <w:widowControl/>
      <w:suppressAutoHyphens w:val="true"/>
      <w:bidi w:val="0"/>
      <w:spacing w:before="60" w:after="60"/>
      <w:ind w:hanging="284" w:left="426"/>
      <w:jc w:val="both"/>
    </w:pPr>
    <w:rPr>
      <w:rFonts w:ascii="Times New Roman" w:hAnsi="Times New Roman" w:eastAsia="Times New Roman" w:cs="Times New Roman"/>
      <w:color w:val="auto"/>
      <w:kern w:val="0"/>
      <w:sz w:val="24"/>
      <w:szCs w:val="24"/>
      <w:lang w:val="pl-PL" w:eastAsia="zh-CN" w:bidi="ar-SA"/>
    </w:rPr>
  </w:style>
  <w:style w:type="paragraph" w:styleId="pkt" w:customStyle="1">
    <w:name w:val="pkt"/>
    <w:basedOn w:val="Normal"/>
    <w:qFormat/>
    <w:rsid w:val="005d3b82"/>
    <w:pPr>
      <w:spacing w:before="60" w:after="60"/>
      <w:ind w:hanging="295" w:left="851"/>
      <w:jc w:val="both"/>
    </w:pPr>
    <w:rPr>
      <w:sz w:val="24"/>
      <w:szCs w:val="24"/>
    </w:rPr>
  </w:style>
  <w:style w:type="paragraph" w:styleId="pkt1" w:customStyle="1">
    <w:name w:val="pkt1"/>
    <w:basedOn w:val="pkt"/>
    <w:qFormat/>
    <w:rsid w:val="005d3b82"/>
    <w:pPr>
      <w:ind w:hanging="425" w:left="850"/>
    </w:pPr>
    <w:rPr/>
  </w:style>
  <w:style w:type="paragraph" w:styleId="ProPublico" w:customStyle="1">
    <w:name w:val="ProPublico"/>
    <w:qFormat/>
    <w:rsid w:val="005d3b82"/>
    <w:pPr>
      <w:widowControl/>
      <w:suppressAutoHyphens w:val="true"/>
      <w:bidi w:val="0"/>
      <w:spacing w:lineRule="auto" w:line="360" w:before="0" w:after="0"/>
      <w:jc w:val="left"/>
    </w:pPr>
    <w:rPr>
      <w:rFonts w:ascii="Times New Roman" w:hAnsi="Times New Roman" w:eastAsia="Times New Roman" w:cs="Times New Roman"/>
      <w:b/>
      <w:color w:val="auto"/>
      <w:kern w:val="0"/>
      <w:sz w:val="24"/>
      <w:szCs w:val="20"/>
      <w:lang w:val="pl-PL" w:eastAsia="zh-CN" w:bidi="ar-SA"/>
    </w:rPr>
  </w:style>
  <w:style w:type="paragraph" w:styleId="normalny" w:customStyle="1">
    <w:name w:val="normalny"/>
    <w:basedOn w:val="Normal"/>
    <w:qFormat/>
    <w:rsid w:val="005d3b82"/>
    <w:pPr>
      <w:spacing w:before="280" w:after="280"/>
    </w:pPr>
    <w:rPr>
      <w:sz w:val="24"/>
      <w:szCs w:val="24"/>
    </w:rPr>
  </w:style>
  <w:style w:type="paragraph" w:styleId="khheader" w:customStyle="1">
    <w:name w:val="kh_header"/>
    <w:basedOn w:val="Normal"/>
    <w:qFormat/>
    <w:rsid w:val="005d3b82"/>
    <w:pPr>
      <w:spacing w:lineRule="atLeast" w:line="420"/>
      <w:ind w:left="225"/>
      <w:jc w:val="center"/>
    </w:pPr>
    <w:rPr>
      <w:rFonts w:ascii="Arial Unicode MS" w:hAnsi="Arial Unicode MS" w:cs="Arial Unicode MS"/>
      <w:sz w:val="28"/>
      <w:szCs w:val="28"/>
    </w:rPr>
  </w:style>
  <w:style w:type="paragraph" w:styleId="khtitle" w:customStyle="1">
    <w:name w:val="kh_title"/>
    <w:basedOn w:val="Normal"/>
    <w:qFormat/>
    <w:rsid w:val="005d3b82"/>
    <w:pPr>
      <w:spacing w:before="375" w:after="225"/>
    </w:pPr>
    <w:rPr>
      <w:rFonts w:ascii="Arial Unicode MS" w:hAnsi="Arial Unicode MS" w:cs="Arial Unicode MS"/>
      <w:b/>
      <w:bCs/>
      <w:sz w:val="24"/>
      <w:szCs w:val="24"/>
      <w:u w:val="single"/>
    </w:rPr>
  </w:style>
  <w:style w:type="paragraph" w:styleId="Tekstpodstawowywcity21" w:customStyle="1">
    <w:name w:val="Tekst podstawowy wcięty 21"/>
    <w:basedOn w:val="Normal"/>
    <w:qFormat/>
    <w:rsid w:val="005d3b82"/>
    <w:pPr>
      <w:spacing w:lineRule="atLeast" w:line="400" w:before="280" w:after="280"/>
      <w:ind w:left="90"/>
    </w:pPr>
    <w:rPr>
      <w:rFonts w:ascii="Verdana" w:hAnsi="Verdana" w:cs="Arial"/>
      <w:color w:val="000000"/>
      <w:sz w:val="17"/>
      <w:szCs w:val="17"/>
    </w:rPr>
  </w:style>
  <w:style w:type="paragraph" w:styleId="Tekstpodstawowywcity31" w:customStyle="1">
    <w:name w:val="Tekst podstawowy wcięty 31"/>
    <w:basedOn w:val="Normal"/>
    <w:qFormat/>
    <w:rsid w:val="005d3b82"/>
    <w:pPr>
      <w:spacing w:lineRule="atLeast" w:line="400" w:before="280" w:after="280"/>
      <w:ind w:left="90"/>
      <w:jc w:val="both"/>
    </w:pPr>
    <w:rPr>
      <w:rFonts w:ascii="Verdana" w:hAnsi="Verdana" w:cs="Arial"/>
      <w:color w:val="000000"/>
      <w:sz w:val="17"/>
      <w:szCs w:val="17"/>
    </w:rPr>
  </w:style>
  <w:style w:type="paragraph" w:styleId="Zawartotabeliuser" w:customStyle="1">
    <w:name w:val="Zawartość tabeli (user)"/>
    <w:basedOn w:val="Normal"/>
    <w:qFormat/>
    <w:rsid w:val="005d3b82"/>
    <w:pPr>
      <w:suppressLineNumbers/>
    </w:pPr>
    <w:rPr/>
  </w:style>
  <w:style w:type="paragraph" w:styleId="Nagwektabeliuser" w:customStyle="1">
    <w:name w:val="Nagłówek tabeli (user)"/>
    <w:basedOn w:val="Zawartotabeliuser"/>
    <w:qFormat/>
    <w:rsid w:val="005d3b82"/>
    <w:pPr>
      <w:jc w:val="center"/>
    </w:pPr>
    <w:rPr>
      <w:b/>
      <w:bCs/>
    </w:rPr>
  </w:style>
  <w:style w:type="paragraph" w:styleId="Zawartoramkiuser" w:customStyle="1">
    <w:name w:val="Zawartość ramki (user)"/>
    <w:basedOn w:val="BodyText"/>
    <w:qFormat/>
    <w:rsid w:val="005d3b82"/>
    <w:pPr/>
    <w:rPr/>
  </w:style>
  <w:style w:type="paragraph" w:styleId="Nagwek10user" w:customStyle="1">
    <w:name w:val="Nagłówek 10 (user)"/>
    <w:basedOn w:val="Nagwek1"/>
    <w:next w:val="BodyText"/>
    <w:qFormat/>
    <w:rsid w:val="005d3b82"/>
    <w:pPr>
      <w:tabs>
        <w:tab w:val="clear" w:pos="708"/>
        <w:tab w:val="left" w:pos="1584" w:leader="none"/>
      </w:tabs>
      <w:ind w:hanging="1584" w:left="1584"/>
      <w:outlineLvl w:val="8"/>
    </w:pPr>
    <w:rPr>
      <w:b/>
      <w:bCs/>
      <w:sz w:val="21"/>
      <w:szCs w:val="21"/>
    </w:rPr>
  </w:style>
  <w:style w:type="paragraph" w:styleId="CalibriNormalny" w:customStyle="1">
    <w:name w:val="Calibri Normalny"/>
    <w:basedOn w:val="Normal"/>
    <w:qFormat/>
    <w:rsid w:val="005d3b82"/>
    <w:pPr>
      <w:suppressAutoHyphens w:val="false"/>
    </w:pPr>
    <w:rPr>
      <w:rFonts w:ascii="Calibri" w:hAnsi="Calibri"/>
      <w:sz w:val="24"/>
      <w:szCs w:val="22"/>
      <w:lang w:eastAsia="en-US"/>
    </w:rPr>
  </w:style>
  <w:style w:type="paragraph" w:styleId="Akapitzlist1" w:customStyle="1">
    <w:name w:val="Akapit z listą1"/>
    <w:basedOn w:val="Domylnie"/>
    <w:uiPriority w:val="99"/>
    <w:qFormat/>
    <w:rsid w:val="0017171d"/>
    <w:pPr>
      <w:ind w:left="720"/>
    </w:pPr>
    <w:rPr>
      <w:lang w:eastAsia="pl-PL"/>
    </w:rPr>
  </w:style>
  <w:style w:type="paragraph" w:styleId="Texte1xx" w:customStyle="1">
    <w:name w:val="Texte 1.xx"/>
    <w:basedOn w:val="Normal"/>
    <w:uiPriority w:val="99"/>
    <w:qFormat/>
    <w:rsid w:val="005d3b82"/>
    <w:pPr>
      <w:spacing w:before="120" w:after="120"/>
      <w:ind w:firstLine="1" w:left="1418"/>
      <w:jc w:val="both"/>
    </w:pPr>
    <w:rPr>
      <w:rFonts w:ascii="Arial" w:hAnsi="Arial" w:cs="Arial"/>
      <w:sz w:val="22"/>
      <w:szCs w:val="22"/>
      <w:lang w:eastAsia="ar-SA"/>
    </w:rPr>
  </w:style>
  <w:style w:type="paragraph" w:styleId="Domylnie" w:customStyle="1">
    <w:name w:val="Domyślnie"/>
    <w:qFormat/>
    <w:rsid w:val="00ce78f9"/>
    <w:pPr>
      <w:widowControl/>
      <w:tabs>
        <w:tab w:val="left" w:pos="708" w:leader="none"/>
      </w:tabs>
      <w:suppressAutoHyphens w:val="true"/>
      <w:bidi w:val="0"/>
      <w:spacing w:lineRule="atLeast" w:line="100" w:before="0" w:after="0"/>
      <w:jc w:val="left"/>
    </w:pPr>
    <w:rPr>
      <w:rFonts w:ascii="Times New Roman" w:hAnsi="Times New Roman" w:eastAsia="Lucida Sans Unicode" w:cs="Times New Roman"/>
      <w:color w:val="000000"/>
      <w:kern w:val="0"/>
      <w:sz w:val="24"/>
      <w:szCs w:val="24"/>
      <w:lang w:val="pl-PL" w:eastAsia="en-US" w:bidi="ar-SA"/>
    </w:rPr>
  </w:style>
  <w:style w:type="paragraph" w:styleId="Tekstpodstawowy21" w:customStyle="1">
    <w:name w:val="Tekst podstawowy 21"/>
    <w:basedOn w:val="Normal"/>
    <w:qFormat/>
    <w:rsid w:val="00ce78f9"/>
    <w:pPr>
      <w:jc w:val="both"/>
    </w:pPr>
    <w:rPr>
      <w:sz w:val="28"/>
    </w:rPr>
  </w:style>
  <w:style w:type="paragraph" w:styleId="HTMLTopofForm">
    <w:name w:val="HTML Top of Form"/>
    <w:basedOn w:val="Normal"/>
    <w:next w:val="Normal"/>
    <w:link w:val="ZagicieodgryformularzaZnak"/>
    <w:qFormat/>
    <w:rsid w:val="0017171d"/>
    <w:pPr>
      <w:pBdr>
        <w:bottom w:val="single" w:sz="6" w:space="1" w:color="000000"/>
      </w:pBdr>
      <w:jc w:val="center"/>
    </w:pPr>
    <w:rPr>
      <w:rFonts w:ascii="Arial" w:hAnsi="Arial"/>
      <w:vanish/>
      <w:sz w:val="16"/>
      <w:szCs w:val="16"/>
    </w:rPr>
  </w:style>
  <w:style w:type="paragraph" w:styleId="HTMLBottomofForm">
    <w:name w:val="HTML Bottom of Form"/>
    <w:basedOn w:val="Normal"/>
    <w:next w:val="Normal"/>
    <w:link w:val="ZagicieoddouformularzaZnak"/>
    <w:qFormat/>
    <w:rsid w:val="0017171d"/>
    <w:pPr>
      <w:pBdr>
        <w:top w:val="single" w:sz="6" w:space="1" w:color="000000"/>
      </w:pBdr>
      <w:jc w:val="center"/>
    </w:pPr>
    <w:rPr>
      <w:rFonts w:ascii="Arial" w:hAnsi="Arial"/>
      <w:vanish/>
      <w:sz w:val="16"/>
      <w:szCs w:val="16"/>
    </w:rPr>
  </w:style>
  <w:style w:type="paragraph" w:styleId="BalloonText">
    <w:name w:val="Balloon Text"/>
    <w:basedOn w:val="Normal"/>
    <w:link w:val="TekstdymkaZnak"/>
    <w:qFormat/>
    <w:rsid w:val="0017171d"/>
    <w:pPr/>
    <w:rPr>
      <w:rFonts w:ascii="Tahoma" w:hAnsi="Tahoma"/>
      <w:sz w:val="16"/>
      <w:szCs w:val="16"/>
    </w:rPr>
  </w:style>
  <w:style w:type="paragraph" w:styleId="Tekstprzypisudolnego1" w:customStyle="1">
    <w:name w:val="Tekst przypisu dolnego1"/>
    <w:basedOn w:val="Normal"/>
    <w:link w:val="TekstprzypisudolnegoZnak"/>
    <w:unhideWhenUsed/>
    <w:qFormat/>
    <w:rsid w:val="0017171d"/>
    <w:pPr>
      <w:widowControl w:val="false"/>
      <w:suppressAutoHyphens w:val="false"/>
    </w:pPr>
    <w:rPr>
      <w:rFonts w:ascii="Arial" w:hAnsi="Arial"/>
      <w:lang w:val="en-US" w:eastAsia="en-US"/>
    </w:rPr>
  </w:style>
  <w:style w:type="paragraph" w:styleId="Standard" w:customStyle="1">
    <w:name w:val="Standard"/>
    <w:qFormat/>
    <w:rsid w:val="00354720"/>
    <w:pPr>
      <w:widowControl/>
      <w:suppressAutoHyphens w:val="true"/>
      <w:bidi w:val="0"/>
      <w:spacing w:before="0" w:after="0"/>
      <w:jc w:val="left"/>
      <w:textAlignment w:val="baseline"/>
    </w:pPr>
    <w:rPr>
      <w:rFonts w:ascii="Liberation Serif" w:hAnsi="Liberation Serif" w:eastAsia="SimSun" w:cs="Mangal"/>
      <w:color w:val="auto"/>
      <w:kern w:val="2"/>
      <w:sz w:val="24"/>
      <w:szCs w:val="24"/>
      <w:lang w:val="pl-PL" w:eastAsia="zh-CN" w:bidi="hi-IN"/>
    </w:rPr>
  </w:style>
  <w:style w:type="paragraph" w:styleId="ListBullet4">
    <w:name w:val="List Bullet 4"/>
    <w:basedOn w:val="Normal"/>
    <w:uiPriority w:val="99"/>
    <w:unhideWhenUsed/>
    <w:qFormat/>
    <w:rsid w:val="00e76425"/>
    <w:pPr>
      <w:spacing w:before="0" w:after="0"/>
      <w:ind w:hanging="283" w:left="849"/>
      <w:contextualSpacing/>
    </w:pPr>
    <w:rPr>
      <w:color w:val="00000A"/>
    </w:rPr>
  </w:style>
  <w:style w:type="paragraph" w:styleId="CommentText">
    <w:name w:val="annotation text"/>
    <w:basedOn w:val="Normal"/>
    <w:link w:val="TekstkomentarzaZnak"/>
    <w:qFormat/>
    <w:rsid w:val="005916d0"/>
    <w:pPr/>
    <w:rPr/>
  </w:style>
  <w:style w:type="paragraph" w:styleId="annotationsubject">
    <w:name w:val="annotation subject"/>
    <w:basedOn w:val="CommentText"/>
    <w:next w:val="CommentText"/>
    <w:link w:val="TematkomentarzaZnak"/>
    <w:qFormat/>
    <w:rsid w:val="005916d0"/>
    <w:pPr/>
    <w:rPr>
      <w:b/>
      <w:bCs/>
    </w:rPr>
  </w:style>
  <w:style w:type="paragraph" w:styleId="Default" w:customStyle="1">
    <w:name w:val="Default"/>
    <w:qFormat/>
    <w:rsid w:val="00735583"/>
    <w:pPr>
      <w:widowControl/>
      <w:suppressAutoHyphens w:val="true"/>
      <w:bidi w:val="0"/>
      <w:spacing w:before="0" w:after="0"/>
      <w:jc w:val="left"/>
    </w:pPr>
    <w:rPr>
      <w:rFonts w:ascii="Times New Roman" w:hAnsi="Times New Roman" w:eastAsia="Calibri" w:cs="Times New Roman"/>
      <w:color w:val="000000"/>
      <w:kern w:val="0"/>
      <w:sz w:val="24"/>
      <w:szCs w:val="24"/>
      <w:lang w:val="pl-PL" w:eastAsia="en-US" w:bidi="ar-SA"/>
    </w:rPr>
  </w:style>
  <w:style w:type="paragraph" w:styleId="m-4139553050273371620m-975512084876284408gmail-m-973929500579253848gmail-m-657422018040220971m-7400232910168473461m-3617351710253525309msolistparagraph" w:customStyle="1">
    <w:name w:val="m_-4139553050273371620m_-975512084876284408gmail-m_-973929500579253848gmail-m_-657422018040220971m_-7400232910168473461m_-3617351710253525309msolistparagraph"/>
    <w:basedOn w:val="Normal"/>
    <w:qFormat/>
    <w:rsid w:val="00c41165"/>
    <w:pPr>
      <w:suppressAutoHyphens w:val="false"/>
      <w:spacing w:beforeAutospacing="1" w:afterAutospacing="1"/>
    </w:pPr>
    <w:rPr>
      <w:sz w:val="24"/>
      <w:szCs w:val="24"/>
      <w:lang w:eastAsia="pl-PL"/>
    </w:rPr>
  </w:style>
  <w:style w:type="paragraph" w:styleId="text-justify" w:customStyle="1">
    <w:name w:val="text-justify"/>
    <w:basedOn w:val="Normal"/>
    <w:qFormat/>
    <w:rsid w:val="00c41165"/>
    <w:pPr>
      <w:suppressAutoHyphens w:val="false"/>
      <w:spacing w:beforeAutospacing="1" w:afterAutospacing="1"/>
    </w:pPr>
    <w:rPr>
      <w:sz w:val="24"/>
      <w:szCs w:val="24"/>
      <w:lang w:eastAsia="pl-PL"/>
    </w:rPr>
  </w:style>
  <w:style w:type="paragraph" w:styleId="BodyText3">
    <w:name w:val="Body Text 3"/>
    <w:basedOn w:val="Normal"/>
    <w:link w:val="Tekstpodstawowy3Znak1"/>
    <w:uiPriority w:val="99"/>
    <w:unhideWhenUsed/>
    <w:qFormat/>
    <w:rsid w:val="000e713d"/>
    <w:pPr>
      <w:spacing w:before="0" w:after="120"/>
    </w:pPr>
    <w:rPr>
      <w:color w:val="00000A"/>
      <w:sz w:val="16"/>
      <w:szCs w:val="16"/>
    </w:rPr>
  </w:style>
  <w:style w:type="paragraph" w:styleId="gwkauchway" w:customStyle="1">
    <w:name w:val="główka uchwały"/>
    <w:basedOn w:val="Normal"/>
    <w:qFormat/>
    <w:rsid w:val="000e713d"/>
    <w:pPr>
      <w:widowControl w:val="false"/>
      <w:spacing w:lineRule="auto" w:line="360"/>
      <w:ind w:hanging="363" w:left="363"/>
      <w:jc w:val="both"/>
    </w:pPr>
    <w:rPr>
      <w:rFonts w:eastAsia="Lucida Sans Unicode"/>
      <w:color w:val="00000A"/>
      <w:sz w:val="24"/>
      <w:lang w:eastAsia="ar-SA"/>
    </w:rPr>
  </w:style>
  <w:style w:type="paragraph" w:styleId="Textbody" w:customStyle="1">
    <w:name w:val="Text body"/>
    <w:basedOn w:val="Standard"/>
    <w:qFormat/>
    <w:rsid w:val="000e713d"/>
    <w:pPr>
      <w:spacing w:before="0" w:after="120"/>
      <w:textAlignment w:val="auto"/>
    </w:pPr>
    <w:rPr>
      <w:rFonts w:ascii="Times New Roman" w:hAnsi="Times New Roman" w:eastAsia="Times New Roman" w:cs="Times New Roman"/>
      <w:color w:val="00000A"/>
      <w:kern w:val="0"/>
      <w:szCs w:val="20"/>
      <w:lang w:bidi="ar-SA"/>
    </w:rPr>
  </w:style>
  <w:style w:type="paragraph" w:styleId="gwkauchway1" w:customStyle="1">
    <w:name w:val="gwkauchway"/>
    <w:basedOn w:val="Normal"/>
    <w:qFormat/>
    <w:rsid w:val="000e713d"/>
    <w:pPr>
      <w:suppressAutoHyphens w:val="false"/>
      <w:spacing w:beforeAutospacing="1" w:afterAutospacing="1"/>
    </w:pPr>
    <w:rPr>
      <w:sz w:val="24"/>
      <w:szCs w:val="24"/>
      <w:lang w:eastAsia="pl-PL"/>
    </w:rPr>
  </w:style>
  <w:style w:type="paragraph" w:styleId="Akapitzlist2" w:customStyle="1">
    <w:name w:val="Akapit z listą2"/>
    <w:basedOn w:val="Normal"/>
    <w:qFormat/>
    <w:rsid w:val="00045f6a"/>
    <w:pPr>
      <w:suppressAutoHyphens w:val="false"/>
      <w:spacing w:before="0" w:after="0"/>
      <w:ind w:left="720"/>
      <w:contextualSpacing/>
    </w:pPr>
    <w:rPr>
      <w:color w:val="00000A"/>
      <w:sz w:val="24"/>
      <w:szCs w:val="24"/>
      <w:lang w:eastAsia="pl-PL"/>
    </w:rPr>
  </w:style>
  <w:style w:type="paragraph" w:styleId="BodyTextIndent2">
    <w:name w:val="Body Text Indent 2"/>
    <w:basedOn w:val="Normal"/>
    <w:link w:val="Tekstpodstawowywcity2Znak"/>
    <w:qFormat/>
    <w:rsid w:val="00e578b0"/>
    <w:pPr>
      <w:spacing w:lineRule="auto" w:line="480" w:before="0" w:after="120"/>
      <w:ind w:left="283"/>
    </w:pPr>
    <w:rPr/>
  </w:style>
  <w:style w:type="paragraph" w:styleId="Nagwek2" w:customStyle="1">
    <w:name w:val="Nagłówek2"/>
    <w:basedOn w:val="Normal"/>
    <w:qFormat/>
    <w:rsid w:val="00e95fcc"/>
    <w:pPr>
      <w:suppressAutoHyphens w:val="false"/>
      <w:jc w:val="center"/>
    </w:pPr>
    <w:rPr>
      <w:rFonts w:ascii="Arial" w:hAnsi="Arial" w:cs="Arial"/>
      <w:b/>
      <w:color w:val="00000A"/>
      <w:sz w:val="28"/>
      <w:szCs w:val="24"/>
      <w:u w:val="single"/>
    </w:rPr>
  </w:style>
  <w:style w:type="paragraph" w:styleId="ListParagraph">
    <w:name w:val="List Paragraph"/>
    <w:basedOn w:val="Normal"/>
    <w:link w:val="AkapitzlistZnak"/>
    <w:uiPriority w:val="34"/>
    <w:qFormat/>
    <w:rsid w:val="003a07ef"/>
    <w:pPr>
      <w:suppressAutoHyphens w:val="false"/>
      <w:spacing w:before="0" w:after="0"/>
      <w:ind w:left="720"/>
      <w:contextualSpacing/>
    </w:pPr>
    <w:rPr>
      <w:sz w:val="24"/>
      <w:szCs w:val="24"/>
      <w:lang w:eastAsia="pl-PL"/>
    </w:rPr>
  </w:style>
  <w:style w:type="paragraph" w:styleId="Title">
    <w:name w:val="Title"/>
    <w:basedOn w:val="Normal"/>
    <w:link w:val="TytuZnak1"/>
    <w:qFormat/>
    <w:rsid w:val="0097551b"/>
    <w:pPr>
      <w:suppressAutoHyphens w:val="false"/>
      <w:jc w:val="center"/>
    </w:pPr>
    <w:rPr>
      <w:rFonts w:ascii="Arial" w:hAnsi="Arial"/>
      <w:b/>
      <w:sz w:val="28"/>
      <w:szCs w:val="24"/>
      <w:u w:val="single"/>
    </w:rPr>
  </w:style>
  <w:style w:type="paragraph" w:styleId="Akapitzlist3" w:customStyle="1">
    <w:name w:val="Akapit z listą3"/>
    <w:basedOn w:val="Normal"/>
    <w:qFormat/>
    <w:rsid w:val="0052237f"/>
    <w:pPr>
      <w:suppressAutoHyphens w:val="false"/>
      <w:spacing w:before="0" w:after="0"/>
      <w:ind w:left="720"/>
      <w:contextualSpacing/>
    </w:pPr>
    <w:rPr>
      <w:color w:val="00000A"/>
      <w:sz w:val="24"/>
      <w:szCs w:val="24"/>
      <w:lang w:eastAsia="pl-PL"/>
    </w:rPr>
  </w:style>
  <w:style w:type="paragraph" w:styleId="PlainText">
    <w:name w:val="Plain Text"/>
    <w:basedOn w:val="Normal"/>
    <w:link w:val="ZwykytekstZnak"/>
    <w:uiPriority w:val="99"/>
    <w:qFormat/>
    <w:rsid w:val="00126cb4"/>
    <w:pPr>
      <w:suppressAutoHyphens w:val="false"/>
    </w:pPr>
    <w:rPr>
      <w:rFonts w:ascii="Courier New" w:hAnsi="Courier New" w:eastAsia="Calibri"/>
      <w:lang w:eastAsia="pl-PL"/>
    </w:rPr>
  </w:style>
  <w:style w:type="paragraph" w:styleId="Footer">
    <w:name w:val="footer"/>
    <w:basedOn w:val="Normal"/>
    <w:link w:val="StopkaZnak2"/>
    <w:unhideWhenUsed/>
    <w:rsid w:val="00126cb4"/>
    <w:pPr>
      <w:tabs>
        <w:tab w:val="clear" w:pos="708"/>
        <w:tab w:val="center" w:pos="4536" w:leader="none"/>
        <w:tab w:val="right" w:pos="9072" w:leader="none"/>
      </w:tabs>
    </w:pPr>
    <w:rPr/>
  </w:style>
  <w:style w:type="paragraph" w:styleId="Akapitzlist4" w:customStyle="1">
    <w:name w:val="Akapit z listą4"/>
    <w:basedOn w:val="Normal"/>
    <w:qFormat/>
    <w:rsid w:val="00983391"/>
    <w:pPr>
      <w:suppressAutoHyphens w:val="false"/>
      <w:spacing w:before="0" w:after="0"/>
      <w:ind w:left="720"/>
      <w:contextualSpacing/>
    </w:pPr>
    <w:rPr>
      <w:color w:val="00000A"/>
      <w:sz w:val="24"/>
      <w:szCs w:val="24"/>
    </w:rPr>
  </w:style>
  <w:style w:type="paragraph" w:styleId="FootnoteText">
    <w:name w:val="footnote text"/>
    <w:basedOn w:val="Normal"/>
    <w:pPr/>
    <w:rPr/>
  </w:style>
  <w:style w:type="paragraph" w:styleId="WW-Domylnie" w:customStyle="1">
    <w:name w:val="WW-Domyślnie"/>
    <w:qFormat/>
    <w:rsid w:val="00474e9f"/>
    <w:pPr>
      <w:widowControl/>
      <w:tabs>
        <w:tab w:val="left" w:pos="708" w:leader="none"/>
      </w:tabs>
      <w:suppressAutoHyphens w:val="true"/>
      <w:bidi w:val="0"/>
      <w:spacing w:lineRule="atLeast" w:line="100" w:before="0" w:after="0"/>
      <w:jc w:val="left"/>
    </w:pPr>
    <w:rPr>
      <w:rFonts w:ascii="Times New Roman" w:hAnsi="Times New Roman" w:eastAsia="Lucida Sans Unicode" w:cs="Times New Roman"/>
      <w:color w:val="000000"/>
      <w:kern w:val="0"/>
      <w:sz w:val="24"/>
      <w:szCs w:val="24"/>
      <w:lang w:val="pl-PL" w:eastAsia="zh-CN" w:bidi="ar-SA"/>
    </w:rPr>
  </w:style>
  <w:style w:type="paragraph" w:styleId="Revision">
    <w:name w:val="Revision"/>
    <w:uiPriority w:val="99"/>
    <w:semiHidden/>
    <w:qFormat/>
    <w:rsid w:val="00d66f4e"/>
    <w:pPr>
      <w:widowControl/>
      <w:suppressAutoHyphens w:val="true"/>
      <w:bidi w:val="0"/>
      <w:spacing w:before="0" w:after="0"/>
      <w:jc w:val="left"/>
    </w:pPr>
    <w:rPr>
      <w:rFonts w:ascii="Times New Roman" w:hAnsi="Times New Roman" w:eastAsia="Times New Roman" w:cs="Times New Roman"/>
      <w:color w:val="auto"/>
      <w:kern w:val="0"/>
      <w:sz w:val="20"/>
      <w:szCs w:val="20"/>
      <w:lang w:val="pl-PL" w:eastAsia="zh-CN" w:bidi="ar-SA"/>
    </w:rPr>
  </w:style>
  <w:style w:type="paragraph" w:styleId="Zawartoramki" w:customStyle="1">
    <w:name w:val="Zawartość ramki"/>
    <w:basedOn w:val="Normal"/>
    <w:qFormat/>
    <w:pPr/>
    <w:rPr/>
  </w:style>
  <w:style w:type="paragraph" w:styleId="Zawartotabeli" w:customStyle="1">
    <w:name w:val="Zawartość tabeli"/>
    <w:basedOn w:val="Normal"/>
    <w:qFormat/>
    <w:pPr>
      <w:widowControl w:val="false"/>
      <w:suppressLineNumbers/>
    </w:pPr>
    <w:rPr/>
  </w:style>
  <w:style w:type="paragraph" w:styleId="Nagwektabeli" w:customStyle="1">
    <w:name w:val="Nagłówek tabeli"/>
    <w:basedOn w:val="Zawartotabeli"/>
    <w:qFormat/>
    <w:pPr>
      <w:jc w:val="center"/>
    </w:pPr>
    <w:rPr>
      <w:b/>
      <w:bCs/>
    </w:rPr>
  </w:style>
  <w:style w:type="numbering" w:styleId="Bezlisty" w:customStyle="1">
    <w:name w:val="Bez listy"/>
    <w:uiPriority w:val="99"/>
    <w:semiHidden/>
    <w:unhideWhenUsed/>
    <w:qFormat/>
  </w:style>
  <w:style w:type="numbering" w:styleId="WW8Num82" w:customStyle="1">
    <w:name w:val="WW8Num82"/>
    <w:qFormat/>
  </w:style>
  <w:style w:type="numbering" w:styleId="WW8Num6" w:customStyle="1">
    <w:name w:val="WW8Num6"/>
    <w:qFormat/>
    <w:rsid w:val="00e40ce3"/>
  </w:style>
  <w:style w:type="numbering" w:styleId="Biecalista1" w:customStyle="1">
    <w:name w:val="Bieżąca lista1"/>
    <w:uiPriority w:val="99"/>
    <w:qFormat/>
    <w:rsid w:val="00020b53"/>
  </w:style>
  <w:style w:type="table" w:default="1" w:styleId="Standardowy">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mailto:skala@skala.pl" TargetMode="External"/><Relationship Id="rId3" Type="http://schemas.openxmlformats.org/officeDocument/2006/relationships/hyperlink" Target="https://ezamowienia.gov.pl/mp-client/search/list/ocds-148610-48fc91f8-bd7f-49ba-a72e-2c5d0d0fc2d6" TargetMode="External"/><Relationship Id="rId4" Type="http://schemas.openxmlformats.org/officeDocument/2006/relationships/hyperlink" Target="https://ezamowienia.gov.pl/pl/komponent-edukacyjny/" TargetMode="External"/><Relationship Id="rId5" Type="http://schemas.openxmlformats.org/officeDocument/2006/relationships/hyperlink" Target="https://ezamowienia.gov.pl/soz/latest-faq" TargetMode="External"/><Relationship Id="rId6" Type="http://schemas.openxmlformats.org/officeDocument/2006/relationships/hyperlink" Target="http://www.nbp.pl/" TargetMode="External"/><Relationship Id="rId7" Type="http://schemas.openxmlformats.org/officeDocument/2006/relationships/hyperlink" Target="https://sip.legalis.pl/document-view.seam?documentId=mfrxilrtg4ytimjzhe4tiltqmfyc4njrga4danbyhe&amp;refSource=hyp" TargetMode="External"/><Relationship Id="rId8" Type="http://schemas.openxmlformats.org/officeDocument/2006/relationships/hyperlink" Target="mailto:pchochol.priv@gmail.com" TargetMode="External"/><Relationship Id="rId9" Type="http://schemas.openxmlformats.org/officeDocument/2006/relationships/header" Target="header1.xml"/><Relationship Id="rId10" Type="http://schemas.openxmlformats.org/officeDocument/2006/relationships/header" Target="header2.xml"/><Relationship Id="rId11" Type="http://schemas.openxmlformats.org/officeDocument/2006/relationships/header" Target="header3.xml"/><Relationship Id="rId12" Type="http://schemas.openxmlformats.org/officeDocument/2006/relationships/footer" Target="footer1.xml"/><Relationship Id="rId13" Type="http://schemas.openxmlformats.org/officeDocument/2006/relationships/footer" Target="footer2.xml"/><Relationship Id="rId14" Type="http://schemas.openxmlformats.org/officeDocument/2006/relationships/footer" Target="footer3.xml"/><Relationship Id="rId15" Type="http://schemas.openxmlformats.org/officeDocument/2006/relationships/footnotes" Target="footnotes.xml"/><Relationship Id="rId16" Type="http://schemas.openxmlformats.org/officeDocument/2006/relationships/numbering" Target="numbering.xml"/><Relationship Id="rId17" Type="http://schemas.openxmlformats.org/officeDocument/2006/relationships/fontTable" Target="fontTable.xml"/><Relationship Id="rId18" Type="http://schemas.openxmlformats.org/officeDocument/2006/relationships/settings" Target="settings.xml"/><Relationship Id="rId19" Type="http://schemas.openxmlformats.org/officeDocument/2006/relationships/theme" Target="theme/theme1.xml"/><Relationship Id="rId20" Type="http://schemas.openxmlformats.org/officeDocument/2006/relationships/customXml" Target="../customXml/item1.xml"/>
</Relationships>
</file>

<file path=word/_rels/header2.xml.rels><?xml version="1.0" encoding="UTF-8"?>
<Relationships xmlns="http://schemas.openxmlformats.org/package/2006/relationships"><Relationship Id="rId1" Type="http://schemas.openxmlformats.org/officeDocument/2006/relationships/image" Target="media/image1.png"/>
</Relationships>
</file>

<file path=word/_rels/header3.xml.rels><?xml version="1.0" encoding="UTF-8"?>
<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xmlns:r="http://schemas.openxmlformats.org/officeDocument/2006/relationships" name="Motyw pakietu Office">
  <a:themeElements>
    <a:clrScheme name="Pakiet 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itchFamily="0" charset="1"/>
        <a:ea typeface=""/>
        <a:cs typeface=""/>
      </a:majorFont>
      <a:minorFont>
        <a:latin typeface="Calibri"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E9AFB3-3F6C-46B6-B970-04125FC906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413</TotalTime>
  <Application>LibreOffice/25.2.7.2$Windows_X86_64 LibreOffice_project/5cbfd1ab6520636bb5f7b99185aa69bd7456825d</Application>
  <AppVersion>15.0000</AppVersion>
  <Pages>38</Pages>
  <Words>11488</Words>
  <Characters>75708</Characters>
  <CharactersWithSpaces>86465</CharactersWithSpaces>
  <Paragraphs>616</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2023-02-20T17:10:00Z</dcterms:created>
  <dc:creator>Agnieszka Hornowska</dc:creator>
  <dc:description/>
  <dc:language>pl-PL</dc:language>
  <cp:lastModifiedBy/>
  <cp:lastPrinted>2026-02-20T12:38:00Z</cp:lastPrinted>
  <dcterms:modified xsi:type="dcterms:W3CDTF">2026-03-02T14:00:16Z</dcterms:modified>
  <cp:revision>33</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0</vt:bool>
  </property>
  <property fmtid="{D5CDD505-2E9C-101B-9397-08002B2CF9AE}" pid="3" name="LinksUpToDate">
    <vt:bool>0</vt:bool>
  </property>
  <property fmtid="{D5CDD505-2E9C-101B-9397-08002B2CF9AE}" pid="4" name="ScaleCrop">
    <vt:bool>0</vt:bool>
  </property>
  <property fmtid="{D5CDD505-2E9C-101B-9397-08002B2CF9AE}" pid="5" name="ShareDoc">
    <vt:bool>0</vt:bool>
  </property>
</Properties>
</file>